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EE" w:rsidRDefault="001430EE" w:rsidP="001430EE">
      <w:pPr>
        <w:pStyle w:val="20"/>
        <w:rPr>
          <w:color w:val="000000"/>
          <w:sz w:val="28"/>
        </w:rPr>
      </w:pPr>
      <w:r>
        <w:rPr>
          <w:color w:val="000000"/>
          <w:sz w:val="28"/>
        </w:rPr>
        <w:t xml:space="preserve">У В Е Д О М Л Е Н И Е </w:t>
      </w:r>
    </w:p>
    <w:p w:rsidR="001430EE" w:rsidRDefault="001430EE" w:rsidP="001430EE">
      <w:pPr>
        <w:pStyle w:val="Normal1"/>
        <w:jc w:val="center"/>
        <w:outlineLvl w:val="0"/>
        <w:rPr>
          <w:b/>
        </w:rPr>
      </w:pPr>
      <w:r>
        <w:rPr>
          <w:b/>
        </w:rPr>
        <w:t>Об исполнении фьючерсного контракта</w:t>
      </w:r>
    </w:p>
    <w:p w:rsidR="001430EE" w:rsidRDefault="001430EE" w:rsidP="001430EE">
      <w:pPr>
        <w:pStyle w:val="Normal1"/>
        <w:jc w:val="center"/>
        <w:outlineLvl w:val="0"/>
        <w:rPr>
          <w:b/>
        </w:rPr>
      </w:pPr>
    </w:p>
    <w:p w:rsidR="005909EF" w:rsidRDefault="005909EF">
      <w:pPr>
        <w:pStyle w:val="1"/>
        <w:jc w:val="center"/>
        <w:rPr>
          <w:sz w:val="27"/>
          <w:szCs w:val="27"/>
        </w:rPr>
      </w:pPr>
    </w:p>
    <w:p w:rsidR="001430EE" w:rsidRPr="00141472" w:rsidRDefault="001430EE" w:rsidP="001430EE">
      <w:pPr>
        <w:pStyle w:val="Normal1"/>
        <w:spacing w:before="120"/>
        <w:ind w:firstLine="0"/>
        <w:rPr>
          <w:sz w:val="22"/>
          <w:szCs w:val="22"/>
        </w:rPr>
      </w:pPr>
      <w:r w:rsidRPr="00141472">
        <w:rPr>
          <w:sz w:val="22"/>
          <w:szCs w:val="22"/>
        </w:rPr>
        <w:t>ФИО/Наименование __________________________________________________________________________</w:t>
      </w:r>
    </w:p>
    <w:p w:rsidR="001430EE" w:rsidRPr="00141472" w:rsidRDefault="001430EE" w:rsidP="001430EE">
      <w:pPr>
        <w:pStyle w:val="Normal1"/>
        <w:spacing w:before="120"/>
        <w:ind w:firstLine="0"/>
        <w:rPr>
          <w:sz w:val="22"/>
          <w:szCs w:val="22"/>
        </w:rPr>
      </w:pPr>
      <w:r w:rsidRPr="00141472">
        <w:rPr>
          <w:sz w:val="22"/>
          <w:szCs w:val="22"/>
        </w:rPr>
        <w:t xml:space="preserve">Номер и дата Договора на брокерское </w:t>
      </w:r>
      <w:proofErr w:type="gramStart"/>
      <w:r w:rsidRPr="00141472">
        <w:rPr>
          <w:sz w:val="22"/>
          <w:szCs w:val="22"/>
        </w:rPr>
        <w:t>обслуживание  _</w:t>
      </w:r>
      <w:proofErr w:type="gramEnd"/>
      <w:r w:rsidRPr="00141472">
        <w:rPr>
          <w:sz w:val="22"/>
          <w:szCs w:val="22"/>
        </w:rPr>
        <w:t>_____________________________________________</w:t>
      </w:r>
    </w:p>
    <w:p w:rsidR="001430EE" w:rsidRDefault="001430EE" w:rsidP="001430EE">
      <w:pPr>
        <w:pStyle w:val="Normal1"/>
        <w:ind w:right="-1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169"/>
        <w:gridCol w:w="1377"/>
        <w:gridCol w:w="1206"/>
        <w:gridCol w:w="1606"/>
        <w:gridCol w:w="1199"/>
        <w:gridCol w:w="804"/>
        <w:gridCol w:w="1281"/>
      </w:tblGrid>
      <w:tr w:rsidR="001430EE" w:rsidTr="00F850FD">
        <w:tc>
          <w:tcPr>
            <w:tcW w:w="1410" w:type="dxa"/>
            <w:shd w:val="clear" w:color="auto" w:fill="auto"/>
          </w:tcPr>
          <w:p w:rsidR="001430EE" w:rsidRPr="0061792F" w:rsidRDefault="001430EE" w:rsidP="00F850FD">
            <w:pPr>
              <w:pStyle w:val="Normal1"/>
              <w:ind w:right="-1" w:firstLine="0"/>
              <w:jc w:val="center"/>
            </w:pPr>
            <w:r>
              <w:t>Торговый счет (код) на рынке производных инструментов</w:t>
            </w:r>
          </w:p>
        </w:tc>
        <w:tc>
          <w:tcPr>
            <w:tcW w:w="1230" w:type="dxa"/>
            <w:shd w:val="clear" w:color="auto" w:fill="auto"/>
          </w:tcPr>
          <w:p w:rsidR="001430EE" w:rsidRDefault="001430EE" w:rsidP="00E152FF">
            <w:pPr>
              <w:pStyle w:val="Normal1"/>
              <w:ind w:right="-1" w:firstLine="0"/>
              <w:jc w:val="center"/>
            </w:pPr>
            <w:r>
              <w:t xml:space="preserve">Торговый счет (код) на </w:t>
            </w:r>
            <w:r w:rsidRPr="0079513A">
              <w:rPr>
                <w:lang w:val="en-US"/>
              </w:rPr>
              <w:t>RTS</w:t>
            </w:r>
            <w:r w:rsidRPr="0061792F">
              <w:t xml:space="preserve"> </w:t>
            </w:r>
            <w:proofErr w:type="gramStart"/>
            <w:r w:rsidRPr="0079513A">
              <w:rPr>
                <w:lang w:val="en-US"/>
              </w:rPr>
              <w:t>Standar</w:t>
            </w:r>
            <w:r w:rsidR="00E152FF">
              <w:rPr>
                <w:lang w:val="en-US"/>
              </w:rPr>
              <w:t>d</w:t>
            </w:r>
            <w:r>
              <w:t xml:space="preserve">  </w:t>
            </w:r>
            <w:r w:rsidRPr="0079513A">
              <w:rPr>
                <w:i/>
                <w:sz w:val="16"/>
                <w:szCs w:val="16"/>
              </w:rPr>
              <w:t>(</w:t>
            </w:r>
            <w:proofErr w:type="gramEnd"/>
            <w:r w:rsidRPr="0079513A">
              <w:rPr>
                <w:i/>
                <w:sz w:val="16"/>
                <w:szCs w:val="16"/>
              </w:rPr>
              <w:t xml:space="preserve">для срочного рынка РТС </w:t>
            </w:r>
            <w:r w:rsidRPr="0079513A">
              <w:rPr>
                <w:i/>
                <w:sz w:val="16"/>
                <w:szCs w:val="16"/>
                <w:lang w:val="en-US"/>
              </w:rPr>
              <w:t>FORTS</w:t>
            </w:r>
            <w:r w:rsidRPr="0079513A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445" w:type="dxa"/>
            <w:shd w:val="clear" w:color="auto" w:fill="auto"/>
          </w:tcPr>
          <w:p w:rsidR="001430EE" w:rsidRPr="0079513A" w:rsidRDefault="001430EE" w:rsidP="00F850FD">
            <w:pPr>
              <w:pStyle w:val="Normal1"/>
              <w:ind w:right="-1" w:firstLine="0"/>
              <w:jc w:val="center"/>
              <w:rPr>
                <w:sz w:val="16"/>
                <w:szCs w:val="16"/>
              </w:rPr>
            </w:pPr>
            <w:r>
              <w:t>Счет Депо</w:t>
            </w:r>
            <w:r w:rsidRPr="0079513A">
              <w:rPr>
                <w:sz w:val="16"/>
                <w:szCs w:val="16"/>
              </w:rPr>
              <w:t xml:space="preserve"> </w:t>
            </w:r>
          </w:p>
          <w:p w:rsidR="001430EE" w:rsidRDefault="001430EE" w:rsidP="00F850FD">
            <w:pPr>
              <w:pStyle w:val="Normal1"/>
              <w:ind w:right="-1" w:firstLine="0"/>
              <w:jc w:val="center"/>
            </w:pPr>
            <w:r w:rsidRPr="0079513A">
              <w:rPr>
                <w:i/>
                <w:sz w:val="16"/>
                <w:szCs w:val="16"/>
              </w:rPr>
              <w:t>(в случае отличия от номера Договора на брокерское обслуживание)</w:t>
            </w:r>
          </w:p>
        </w:tc>
        <w:tc>
          <w:tcPr>
            <w:tcW w:w="1319" w:type="dxa"/>
            <w:shd w:val="clear" w:color="auto" w:fill="auto"/>
          </w:tcPr>
          <w:p w:rsidR="001430EE" w:rsidRPr="0061792F" w:rsidRDefault="001430EE" w:rsidP="00F850FD">
            <w:pPr>
              <w:pStyle w:val="Normal1"/>
              <w:ind w:right="-1" w:firstLine="0"/>
              <w:jc w:val="center"/>
            </w:pPr>
            <w:r>
              <w:t>Торговая система (ТС)</w:t>
            </w:r>
          </w:p>
        </w:tc>
        <w:tc>
          <w:tcPr>
            <w:tcW w:w="1682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  <w:jc w:val="center"/>
            </w:pPr>
            <w:r>
              <w:t>Наименование контра</w:t>
            </w:r>
            <w:r w:rsidR="00D03B43">
              <w:t>\</w:t>
            </w:r>
            <w:r>
              <w:t>кта</w:t>
            </w:r>
          </w:p>
        </w:tc>
        <w:tc>
          <w:tcPr>
            <w:tcW w:w="1269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  <w:jc w:val="center"/>
            </w:pPr>
            <w:r>
              <w:t xml:space="preserve"> Код контракта в ТС</w:t>
            </w:r>
          </w:p>
        </w:tc>
        <w:tc>
          <w:tcPr>
            <w:tcW w:w="894" w:type="dxa"/>
            <w:shd w:val="clear" w:color="auto" w:fill="auto"/>
          </w:tcPr>
          <w:p w:rsidR="001430EE" w:rsidDel="00027A48" w:rsidRDefault="001430EE" w:rsidP="00F850FD">
            <w:pPr>
              <w:pStyle w:val="Normal1"/>
              <w:ind w:right="-1" w:firstLine="0"/>
              <w:jc w:val="center"/>
            </w:pPr>
            <w:r>
              <w:t>Кол-во (лот)</w:t>
            </w:r>
          </w:p>
        </w:tc>
        <w:tc>
          <w:tcPr>
            <w:tcW w:w="1314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  <w:jc w:val="center"/>
            </w:pPr>
            <w:r>
              <w:t xml:space="preserve"> Дата исполнения</w:t>
            </w:r>
          </w:p>
        </w:tc>
      </w:tr>
      <w:tr w:rsidR="001430EE" w:rsidTr="00F850FD">
        <w:tc>
          <w:tcPr>
            <w:tcW w:w="1410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230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445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319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682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269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894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314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</w:tr>
      <w:tr w:rsidR="001430EE" w:rsidTr="00F850FD">
        <w:tc>
          <w:tcPr>
            <w:tcW w:w="1410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230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445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319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682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269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894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314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</w:tr>
    </w:tbl>
    <w:p w:rsidR="001430EE" w:rsidRDefault="001430EE" w:rsidP="001430EE">
      <w:pPr>
        <w:pStyle w:val="Normal1"/>
        <w:ind w:right="-1" w:firstLine="0"/>
      </w:pPr>
    </w:p>
    <w:p w:rsidR="001430EE" w:rsidRDefault="001430EE" w:rsidP="001430EE">
      <w:pPr>
        <w:pStyle w:val="Normal1"/>
        <w:ind w:right="-1" w:firstLine="0"/>
      </w:pPr>
    </w:p>
    <w:p w:rsidR="001430EE" w:rsidRPr="00141472" w:rsidRDefault="001430EE" w:rsidP="001430EE">
      <w:pPr>
        <w:pStyle w:val="Normal1"/>
        <w:ind w:right="-1" w:firstLine="708"/>
        <w:rPr>
          <w:sz w:val="22"/>
          <w:szCs w:val="22"/>
        </w:rPr>
      </w:pPr>
      <w:r w:rsidRPr="00141472">
        <w:rPr>
          <w:sz w:val="22"/>
          <w:szCs w:val="22"/>
        </w:rPr>
        <w:t xml:space="preserve">Настоящим также прошу осуществить перенос позиций, возникших в результате исполнения вышеуказанных фьючерсных контрактов, с торгового счета на рынке РТС </w:t>
      </w:r>
      <w:r w:rsidRPr="00141472">
        <w:rPr>
          <w:sz w:val="22"/>
          <w:szCs w:val="22"/>
          <w:lang w:val="en-US"/>
        </w:rPr>
        <w:t>FORTS</w:t>
      </w:r>
      <w:r w:rsidRPr="00141472">
        <w:rPr>
          <w:sz w:val="22"/>
          <w:szCs w:val="22"/>
        </w:rPr>
        <w:t xml:space="preserve"> на торговый счет на </w:t>
      </w:r>
      <w:r>
        <w:rPr>
          <w:sz w:val="22"/>
          <w:szCs w:val="22"/>
        </w:rPr>
        <w:t xml:space="preserve">рынке </w:t>
      </w:r>
      <w:r w:rsidRPr="00141472">
        <w:rPr>
          <w:sz w:val="22"/>
          <w:szCs w:val="22"/>
          <w:lang w:val="en-US"/>
        </w:rPr>
        <w:t>RTS</w:t>
      </w:r>
      <w:r w:rsidRPr="00141472">
        <w:rPr>
          <w:sz w:val="22"/>
          <w:szCs w:val="22"/>
        </w:rPr>
        <w:t xml:space="preserve"> </w:t>
      </w:r>
      <w:r w:rsidRPr="00141472">
        <w:rPr>
          <w:sz w:val="22"/>
          <w:szCs w:val="22"/>
          <w:lang w:val="en-US"/>
        </w:rPr>
        <w:t>Standard</w:t>
      </w:r>
      <w:r w:rsidRPr="00141472">
        <w:rPr>
          <w:sz w:val="22"/>
          <w:szCs w:val="22"/>
        </w:rPr>
        <w:t xml:space="preserve">, путем заключения сделок купли-продажи </w:t>
      </w:r>
      <w:r>
        <w:rPr>
          <w:sz w:val="22"/>
          <w:szCs w:val="22"/>
        </w:rPr>
        <w:t xml:space="preserve">по торговым счетам </w:t>
      </w:r>
      <w:r w:rsidRPr="00141472">
        <w:rPr>
          <w:sz w:val="22"/>
          <w:szCs w:val="22"/>
        </w:rPr>
        <w:t xml:space="preserve">с полученными инструментами рынка </w:t>
      </w:r>
      <w:r w:rsidRPr="00141472">
        <w:rPr>
          <w:sz w:val="22"/>
          <w:szCs w:val="22"/>
          <w:lang w:val="en-US"/>
        </w:rPr>
        <w:t>RTS</w:t>
      </w:r>
      <w:r w:rsidRPr="00141472">
        <w:rPr>
          <w:sz w:val="22"/>
          <w:szCs w:val="22"/>
        </w:rPr>
        <w:t xml:space="preserve"> </w:t>
      </w:r>
      <w:r w:rsidRPr="00141472">
        <w:rPr>
          <w:sz w:val="22"/>
          <w:szCs w:val="22"/>
          <w:lang w:val="en-US"/>
        </w:rPr>
        <w:t>Standard</w:t>
      </w:r>
      <w:r w:rsidRPr="00141472">
        <w:rPr>
          <w:sz w:val="22"/>
          <w:szCs w:val="22"/>
        </w:rPr>
        <w:t xml:space="preserve"> по Расчетным ценам</w:t>
      </w:r>
      <w:r>
        <w:rPr>
          <w:sz w:val="22"/>
          <w:szCs w:val="22"/>
        </w:rPr>
        <w:t xml:space="preserve"> фьючерсных контрактов, определенных согласно Спецификации контрактов</w:t>
      </w:r>
      <w:r w:rsidRPr="00141472">
        <w:rPr>
          <w:sz w:val="22"/>
          <w:szCs w:val="22"/>
        </w:rPr>
        <w:t>.</w:t>
      </w:r>
    </w:p>
    <w:p w:rsidR="001430EE" w:rsidRPr="00F1798B" w:rsidRDefault="001430EE" w:rsidP="001430EE">
      <w:pPr>
        <w:pStyle w:val="Normal1"/>
        <w:ind w:right="-1" w:firstLine="0"/>
      </w:pPr>
      <w:r>
        <w:t xml:space="preserve"> </w:t>
      </w:r>
    </w:p>
    <w:p w:rsidR="001430EE" w:rsidRPr="008A0AEC" w:rsidRDefault="001430EE" w:rsidP="001430EE">
      <w:pPr>
        <w:pStyle w:val="Normal1"/>
        <w:ind w:right="708" w:firstLine="0"/>
      </w:pPr>
    </w:p>
    <w:p w:rsidR="001430EE" w:rsidRPr="00141472" w:rsidRDefault="001430EE" w:rsidP="001430EE">
      <w:pPr>
        <w:pStyle w:val="Normal1"/>
        <w:ind w:right="708" w:firstLine="0"/>
        <w:rPr>
          <w:sz w:val="22"/>
          <w:szCs w:val="22"/>
        </w:rPr>
      </w:pPr>
      <w:bookmarkStart w:id="0" w:name="_GoBack"/>
      <w:bookmarkEnd w:id="0"/>
    </w:p>
    <w:p w:rsidR="001430EE" w:rsidRPr="00141472" w:rsidRDefault="001430EE" w:rsidP="001430EE">
      <w:pPr>
        <w:pStyle w:val="Normal1"/>
        <w:ind w:right="708" w:firstLine="0"/>
        <w:rPr>
          <w:sz w:val="22"/>
          <w:szCs w:val="22"/>
        </w:rPr>
      </w:pPr>
    </w:p>
    <w:p w:rsidR="001430EE" w:rsidRPr="00141472" w:rsidRDefault="001430EE" w:rsidP="001430EE">
      <w:pPr>
        <w:pStyle w:val="Normal1"/>
        <w:ind w:right="708" w:firstLine="0"/>
        <w:rPr>
          <w:sz w:val="22"/>
          <w:szCs w:val="22"/>
        </w:rPr>
      </w:pPr>
    </w:p>
    <w:p w:rsidR="001430EE" w:rsidRPr="00141472" w:rsidRDefault="001430EE" w:rsidP="001430EE">
      <w:pPr>
        <w:pStyle w:val="a7"/>
        <w:spacing w:line="240" w:lineRule="auto"/>
        <w:rPr>
          <w:rFonts w:ascii="Times New Roman" w:hAnsi="Times New Roman"/>
        </w:rPr>
      </w:pPr>
      <w:r w:rsidRPr="00141472">
        <w:rPr>
          <w:rFonts w:ascii="Times New Roman" w:hAnsi="Times New Roman"/>
        </w:rPr>
        <w:t>От   Клиента</w:t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  <w:t xml:space="preserve"> </w:t>
      </w:r>
    </w:p>
    <w:p w:rsidR="001430EE" w:rsidRPr="00141472" w:rsidRDefault="001430EE" w:rsidP="001430EE">
      <w:pPr>
        <w:pStyle w:val="a7"/>
        <w:spacing w:line="240" w:lineRule="auto"/>
        <w:rPr>
          <w:rFonts w:ascii="Times New Roman" w:hAnsi="Times New Roman"/>
        </w:rPr>
      </w:pPr>
    </w:p>
    <w:p w:rsidR="001430EE" w:rsidRPr="00141472" w:rsidRDefault="001430EE" w:rsidP="001430EE">
      <w:pPr>
        <w:pStyle w:val="a7"/>
        <w:spacing w:line="240" w:lineRule="auto"/>
        <w:rPr>
          <w:rFonts w:ascii="Times New Roman" w:hAnsi="Times New Roman"/>
        </w:rPr>
      </w:pPr>
      <w:r w:rsidRPr="00141472">
        <w:rPr>
          <w:rFonts w:ascii="Times New Roman" w:hAnsi="Times New Roman"/>
        </w:rPr>
        <w:t xml:space="preserve">_________________ /________________/  </w:t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  <w:t xml:space="preserve"> </w:t>
      </w:r>
    </w:p>
    <w:p w:rsidR="001430EE" w:rsidRPr="00141472" w:rsidRDefault="001430EE" w:rsidP="001430EE">
      <w:pPr>
        <w:pStyle w:val="a7"/>
        <w:spacing w:line="240" w:lineRule="auto"/>
        <w:rPr>
          <w:rFonts w:ascii="Times New Roman" w:hAnsi="Times New Roman"/>
        </w:rPr>
      </w:pP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</w:p>
    <w:p w:rsidR="001430EE" w:rsidRPr="00141472" w:rsidRDefault="001430EE" w:rsidP="001430EE">
      <w:pPr>
        <w:pStyle w:val="a7"/>
        <w:spacing w:line="240" w:lineRule="auto"/>
        <w:rPr>
          <w:rFonts w:ascii="Times New Roman" w:hAnsi="Times New Roman"/>
        </w:rPr>
      </w:pPr>
    </w:p>
    <w:p w:rsidR="001430EE" w:rsidRPr="00141472" w:rsidRDefault="001430EE" w:rsidP="001430EE">
      <w:pPr>
        <w:pStyle w:val="a7"/>
        <w:spacing w:line="240" w:lineRule="auto"/>
        <w:rPr>
          <w:rFonts w:ascii="Times New Roman" w:hAnsi="Times New Roman"/>
        </w:rPr>
      </w:pPr>
      <w:proofErr w:type="spellStart"/>
      <w:r w:rsidRPr="00141472">
        <w:rPr>
          <w:rFonts w:ascii="Times New Roman" w:hAnsi="Times New Roman"/>
        </w:rPr>
        <w:t>м.п</w:t>
      </w:r>
      <w:proofErr w:type="spellEnd"/>
      <w:r w:rsidRPr="00141472">
        <w:rPr>
          <w:rFonts w:ascii="Times New Roman" w:hAnsi="Times New Roman"/>
        </w:rPr>
        <w:t>. (для юридических лиц)</w:t>
      </w:r>
      <w:r w:rsidRPr="00141472">
        <w:rPr>
          <w:rFonts w:ascii="Times New Roman" w:hAnsi="Times New Roman"/>
        </w:rPr>
        <w:tab/>
      </w:r>
    </w:p>
    <w:p w:rsidR="001430EE" w:rsidRDefault="001430EE" w:rsidP="001430EE">
      <w:pPr>
        <w:pStyle w:val="Normal1"/>
        <w:ind w:right="708" w:firstLine="0"/>
      </w:pPr>
    </w:p>
    <w:p w:rsidR="001430EE" w:rsidRDefault="001430EE" w:rsidP="001430EE">
      <w:pPr>
        <w:pStyle w:val="Normal1"/>
        <w:ind w:right="708" w:firstLine="0"/>
      </w:pPr>
    </w:p>
    <w:p w:rsidR="001430EE" w:rsidRPr="001430EE" w:rsidRDefault="001430EE" w:rsidP="001430EE"/>
    <w:sectPr w:rsidR="001430EE" w:rsidRPr="001430EE">
      <w:headerReference w:type="default" r:id="rId7"/>
      <w:pgSz w:w="11906" w:h="16838"/>
      <w:pgMar w:top="1440" w:right="99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522" w:rsidRPr="00C30542" w:rsidRDefault="003D2522">
      <w:pPr>
        <w:rPr>
          <w:sz w:val="19"/>
          <w:szCs w:val="19"/>
        </w:rPr>
      </w:pPr>
      <w:r w:rsidRPr="00C30542">
        <w:rPr>
          <w:sz w:val="19"/>
          <w:szCs w:val="19"/>
        </w:rPr>
        <w:separator/>
      </w:r>
    </w:p>
  </w:endnote>
  <w:endnote w:type="continuationSeparator" w:id="0">
    <w:p w:rsidR="003D2522" w:rsidRPr="00C30542" w:rsidRDefault="003D2522">
      <w:pPr>
        <w:rPr>
          <w:sz w:val="19"/>
          <w:szCs w:val="19"/>
        </w:rPr>
      </w:pPr>
      <w:r w:rsidRPr="00C30542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522" w:rsidRPr="00C30542" w:rsidRDefault="003D2522">
      <w:pPr>
        <w:rPr>
          <w:sz w:val="19"/>
          <w:szCs w:val="19"/>
        </w:rPr>
      </w:pPr>
      <w:r w:rsidRPr="00C30542">
        <w:rPr>
          <w:sz w:val="19"/>
          <w:szCs w:val="19"/>
        </w:rPr>
        <w:separator/>
      </w:r>
    </w:p>
  </w:footnote>
  <w:footnote w:type="continuationSeparator" w:id="0">
    <w:p w:rsidR="003D2522" w:rsidRPr="00C30542" w:rsidRDefault="003D2522">
      <w:pPr>
        <w:rPr>
          <w:sz w:val="19"/>
          <w:szCs w:val="19"/>
        </w:rPr>
      </w:pPr>
      <w:r w:rsidRPr="00C30542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063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6209"/>
    </w:tblGrid>
    <w:tr w:rsidR="0022400F" w:rsidRPr="00C43907" w:rsidTr="00F850FD">
      <w:tc>
        <w:tcPr>
          <w:tcW w:w="4423" w:type="dxa"/>
        </w:tcPr>
        <w:p w:rsidR="0022400F" w:rsidRPr="00C43907" w:rsidRDefault="0022400F" w:rsidP="0022400F">
          <w:pPr>
            <w:rPr>
              <w:rFonts w:ascii="Arial" w:hAnsi="Arial" w:cs="Arial"/>
              <w:noProof/>
              <w:sz w:val="20"/>
              <w:szCs w:val="20"/>
            </w:rPr>
          </w:pPr>
          <w:r w:rsidRPr="0022400F">
            <w:rPr>
              <w:rFonts w:ascii="Arial" w:hAnsi="Arial" w:cs="Arial"/>
              <w:noProof/>
            </w:rPr>
            <w:drawing>
              <wp:inline distT="0" distB="0" distL="0" distR="0">
                <wp:extent cx="1709530" cy="445166"/>
                <wp:effectExtent l="0" t="0" r="508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040" cy="458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</w:tcPr>
        <w:p w:rsidR="0022400F" w:rsidRPr="00C43907" w:rsidRDefault="0022400F" w:rsidP="0022400F">
          <w:pPr>
            <w:tabs>
              <w:tab w:val="left" w:pos="2116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Приложение №</w:t>
          </w:r>
          <w:r w:rsidR="001430EE">
            <w:rPr>
              <w:rFonts w:ascii="Times New Roman" w:hAnsi="Times New Roman"/>
              <w:i/>
              <w:sz w:val="18"/>
              <w:szCs w:val="18"/>
            </w:rPr>
            <w:t>10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>,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ab/>
          </w:r>
        </w:p>
        <w:p w:rsidR="0022400F" w:rsidRPr="00C43907" w:rsidRDefault="0022400F" w:rsidP="0022400F">
          <w:pPr>
            <w:jc w:val="right"/>
            <w:rPr>
              <w:rFonts w:ascii="Times New Roman" w:eastAsia="Times New Roman" w:hAnsi="Times New Roman"/>
              <w:bCs/>
              <w:i/>
              <w:sz w:val="20"/>
              <w:szCs w:val="20"/>
            </w:rPr>
          </w:pP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Утверждено Приказом</w:t>
          </w:r>
          <w:r w:rsidR="0030399A">
            <w:rPr>
              <w:rFonts w:ascii="Times New Roman" w:hAnsi="Times New Roman"/>
              <w:bCs/>
              <w:i/>
              <w:sz w:val="18"/>
              <w:szCs w:val="18"/>
            </w:rPr>
            <w:t xml:space="preserve"> № 47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 xml:space="preserve"> от </w:t>
          </w:r>
          <w:r w:rsidR="0030399A">
            <w:rPr>
              <w:rFonts w:ascii="Times New Roman" w:hAnsi="Times New Roman"/>
              <w:bCs/>
              <w:i/>
              <w:sz w:val="18"/>
              <w:szCs w:val="18"/>
            </w:rPr>
            <w:t>07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</w:t>
          </w:r>
          <w:r w:rsidR="0030399A">
            <w:rPr>
              <w:rFonts w:ascii="Times New Roman" w:hAnsi="Times New Roman"/>
              <w:bCs/>
              <w:i/>
              <w:sz w:val="18"/>
              <w:szCs w:val="18"/>
            </w:rPr>
            <w:t>10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.201</w:t>
          </w:r>
          <w:r w:rsidR="0030399A">
            <w:rPr>
              <w:rFonts w:ascii="Times New Roman" w:hAnsi="Times New Roman"/>
              <w:bCs/>
              <w:i/>
              <w:sz w:val="18"/>
              <w:szCs w:val="18"/>
            </w:rPr>
            <w:t>4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г</w:t>
          </w: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 </w:t>
          </w:r>
        </w:p>
        <w:p w:rsidR="0022400F" w:rsidRPr="00C43907" w:rsidRDefault="0022400F" w:rsidP="0022400F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>к Регламенту оказания брокерских услуг КИТ Финанс (АО)</w:t>
          </w:r>
        </w:p>
      </w:tc>
    </w:tr>
  </w:tbl>
  <w:p w:rsidR="005909EF" w:rsidRPr="0022400F" w:rsidRDefault="005909EF" w:rsidP="002240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562F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D6175E4"/>
    <w:multiLevelType w:val="hybridMultilevel"/>
    <w:tmpl w:val="EB1E6BA2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A7B3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EF"/>
    <w:rsid w:val="001430EE"/>
    <w:rsid w:val="001A1D10"/>
    <w:rsid w:val="0022400F"/>
    <w:rsid w:val="00231B81"/>
    <w:rsid w:val="00251968"/>
    <w:rsid w:val="00254D1F"/>
    <w:rsid w:val="0030399A"/>
    <w:rsid w:val="003D2522"/>
    <w:rsid w:val="00521919"/>
    <w:rsid w:val="005909EF"/>
    <w:rsid w:val="00694AC3"/>
    <w:rsid w:val="0082606F"/>
    <w:rsid w:val="00BE4A86"/>
    <w:rsid w:val="00C30542"/>
    <w:rsid w:val="00C90A8D"/>
    <w:rsid w:val="00D03B43"/>
    <w:rsid w:val="00D50114"/>
    <w:rsid w:val="00E152FF"/>
    <w:rsid w:val="00F1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B30B5-DE52-4059-BFDA-72A1EC1D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i/>
      <w:sz w:val="24"/>
    </w:rPr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11">
    <w:name w:val="Название объекта1"/>
    <w:basedOn w:val="10"/>
    <w:next w:val="10"/>
    <w:pPr>
      <w:spacing w:before="120"/>
    </w:pPr>
    <w:rPr>
      <w:rFonts w:ascii="Times New Roman" w:hAnsi="Times New Roman"/>
      <w:b/>
      <w:i/>
    </w:rPr>
  </w:style>
  <w:style w:type="table" w:customStyle="1" w:styleId="12">
    <w:name w:val="Сетка таблицы1"/>
    <w:basedOn w:val="a1"/>
    <w:next w:val="a6"/>
    <w:uiPriority w:val="39"/>
    <w:rsid w:val="002240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224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1430EE"/>
    <w:pPr>
      <w:keepNext/>
      <w:autoSpaceDE w:val="0"/>
      <w:autoSpaceDN w:val="0"/>
      <w:jc w:val="center"/>
      <w:outlineLvl w:val="1"/>
    </w:pPr>
    <w:rPr>
      <w:b/>
      <w:bCs/>
      <w:szCs w:val="24"/>
    </w:rPr>
  </w:style>
  <w:style w:type="paragraph" w:customStyle="1" w:styleId="Normal1">
    <w:name w:val="Normal1"/>
    <w:rsid w:val="001430EE"/>
    <w:pPr>
      <w:autoSpaceDE w:val="0"/>
      <w:autoSpaceDN w:val="0"/>
      <w:ind w:firstLine="567"/>
      <w:jc w:val="both"/>
    </w:pPr>
  </w:style>
  <w:style w:type="paragraph" w:styleId="a7">
    <w:name w:val="Body Text Indent"/>
    <w:basedOn w:val="a"/>
    <w:link w:val="a8"/>
    <w:rsid w:val="001430EE"/>
    <w:pPr>
      <w:autoSpaceDE w:val="0"/>
      <w:autoSpaceDN w:val="0"/>
      <w:spacing w:line="360" w:lineRule="auto"/>
      <w:ind w:right="-1"/>
      <w:jc w:val="both"/>
    </w:pPr>
    <w:rPr>
      <w:rFonts w:ascii="Arial" w:hAnsi="Arial" w:cs="Arial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rsid w:val="001430E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O97\&#1064;&#1072;&#1073;&#1083;&#1086;&#1085;&#1099;%20&#1076;&#1086;&#1082;&#1091;&#1084;&#1077;&#1085;&#1090;&#1086;&#1074;\&#1047;&#1072;&#1103;&#1074;&#1083;&#1077;&#1085;&#1080;&#1103;%20&#1085;&#1072;%20&#1044;&#1057;\&#1047;&#1072;&#1103;&#1074;&#1083;&#1077;&#1085;&#1080;&#1077;%20&#1085;&#1072;%20&#1074;&#1085;&#1077;&#1089;&#1077;&#1085;&#1080;&#1077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внесение ДС.dot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об исполнении фьючерсного контракта</dc:title>
  <dc:subject/>
  <dc:creator>КИТ Финанс Брокер</dc:creator>
  <cp:keywords/>
  <cp:lastModifiedBy>Gorevaya, Yana</cp:lastModifiedBy>
  <cp:revision>2</cp:revision>
  <cp:lastPrinted>2004-07-15T14:15:00Z</cp:lastPrinted>
  <dcterms:created xsi:type="dcterms:W3CDTF">2016-12-14T11:16:00Z</dcterms:created>
  <dcterms:modified xsi:type="dcterms:W3CDTF">2016-12-14T11:16:00Z</dcterms:modified>
</cp:coreProperties>
</file>