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56" w:rsidRDefault="00620E56" w:rsidP="00D31913"/>
    <w:p w:rsidR="003073E8" w:rsidRDefault="0066230E" w:rsidP="00464C27">
      <w:pPr>
        <w:spacing w:before="60"/>
        <w:jc w:val="center"/>
        <w:rPr>
          <w:b/>
          <w:sz w:val="22"/>
          <w:szCs w:val="22"/>
        </w:rPr>
      </w:pPr>
      <w:r w:rsidRPr="00FA1117">
        <w:rPr>
          <w:b/>
          <w:sz w:val="22"/>
          <w:szCs w:val="22"/>
        </w:rPr>
        <w:t xml:space="preserve">Особенности совершения операций при использовании сервиса ЕДП </w:t>
      </w:r>
    </w:p>
    <w:p w:rsidR="0066230E" w:rsidRDefault="0066230E" w:rsidP="00464C27">
      <w:pPr>
        <w:spacing w:before="60"/>
        <w:jc w:val="center"/>
        <w:rPr>
          <w:b/>
          <w:sz w:val="22"/>
          <w:szCs w:val="22"/>
        </w:rPr>
      </w:pPr>
      <w:r w:rsidRPr="00FA1117">
        <w:rPr>
          <w:b/>
          <w:sz w:val="22"/>
          <w:szCs w:val="22"/>
        </w:rPr>
        <w:t>(сервис ЕДП)</w:t>
      </w:r>
    </w:p>
    <w:p w:rsidR="0066230E" w:rsidRPr="00FA1117" w:rsidRDefault="0066230E" w:rsidP="00464C27">
      <w:pPr>
        <w:spacing w:before="60"/>
        <w:jc w:val="center"/>
        <w:rPr>
          <w:b/>
          <w:sz w:val="22"/>
          <w:szCs w:val="22"/>
        </w:rPr>
      </w:pP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В сервис ЕДП по усмотрению Компании могут быть включены ТС в следующих комбина</w:t>
      </w:r>
      <w:bookmarkStart w:id="0" w:name="_GoBack"/>
      <w:bookmarkEnd w:id="0"/>
      <w:r w:rsidRPr="00FA1117">
        <w:rPr>
          <w:rFonts w:ascii="Times New Roman" w:hAnsi="Times New Roman" w:cs="Times New Roman"/>
          <w:sz w:val="20"/>
          <w:szCs w:val="20"/>
        </w:rPr>
        <w:t>циях:</w:t>
      </w:r>
    </w:p>
    <w:p w:rsidR="0066230E" w:rsidRPr="00FA1117" w:rsidRDefault="00E57938" w:rsidP="00464C27">
      <w:pPr>
        <w:pStyle w:val="ac"/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 «Основной рынок», «Срочный рынок </w:t>
      </w:r>
      <w:r w:rsidR="0066230E" w:rsidRPr="00FA1117">
        <w:rPr>
          <w:rFonts w:ascii="Times New Roman" w:hAnsi="Times New Roman" w:cs="Times New Roman"/>
          <w:sz w:val="20"/>
          <w:szCs w:val="20"/>
          <w:lang w:val="en-US"/>
        </w:rPr>
        <w:t>FORTS</w:t>
      </w:r>
      <w:r w:rsidR="0066230E" w:rsidRPr="00FA1117">
        <w:rPr>
          <w:rFonts w:ascii="Times New Roman" w:hAnsi="Times New Roman" w:cs="Times New Roman"/>
          <w:sz w:val="20"/>
          <w:szCs w:val="20"/>
        </w:rPr>
        <w:t>»,</w:t>
      </w:r>
      <w:r w:rsidR="003210BA">
        <w:rPr>
          <w:rFonts w:ascii="Times New Roman" w:hAnsi="Times New Roman" w:cs="Times New Roman"/>
          <w:sz w:val="20"/>
          <w:szCs w:val="20"/>
        </w:rPr>
        <w:t xml:space="preserve"> «Иностранные площадки»,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 «Валютный рынок»;</w:t>
      </w:r>
    </w:p>
    <w:p w:rsidR="0066230E" w:rsidRDefault="00E57938" w:rsidP="00464C27">
      <w:pPr>
        <w:pStyle w:val="ac"/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«Основной рынок», «Срочный рынок </w:t>
      </w:r>
      <w:r w:rsidR="0066230E" w:rsidRPr="00FA1117">
        <w:rPr>
          <w:rFonts w:ascii="Times New Roman" w:hAnsi="Times New Roman" w:cs="Times New Roman"/>
          <w:sz w:val="20"/>
          <w:szCs w:val="20"/>
          <w:lang w:val="en-US"/>
        </w:rPr>
        <w:t>FORTS</w:t>
      </w:r>
      <w:r w:rsidR="0066230E" w:rsidRPr="00FA1117">
        <w:rPr>
          <w:rFonts w:ascii="Times New Roman" w:hAnsi="Times New Roman" w:cs="Times New Roman"/>
          <w:sz w:val="20"/>
          <w:szCs w:val="20"/>
        </w:rPr>
        <w:t>»</w:t>
      </w:r>
      <w:r w:rsidR="003210BA">
        <w:rPr>
          <w:rFonts w:ascii="Times New Roman" w:hAnsi="Times New Roman" w:cs="Times New Roman"/>
          <w:sz w:val="20"/>
          <w:szCs w:val="20"/>
        </w:rPr>
        <w:t>, «Иностранные площадки»</w:t>
      </w:r>
      <w:r w:rsidR="008418C7">
        <w:rPr>
          <w:rFonts w:ascii="Times New Roman" w:hAnsi="Times New Roman" w:cs="Times New Roman"/>
          <w:sz w:val="20"/>
          <w:szCs w:val="20"/>
        </w:rPr>
        <w:t>;</w:t>
      </w:r>
    </w:p>
    <w:p w:rsidR="008418C7" w:rsidRDefault="008418C7" w:rsidP="00464C27">
      <w:pPr>
        <w:pStyle w:val="ac"/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«Основной рынок», «Иностранные площадки»,</w:t>
      </w:r>
      <w:r w:rsidRPr="00FA1117">
        <w:rPr>
          <w:rFonts w:ascii="Times New Roman" w:hAnsi="Times New Roman" w:cs="Times New Roman"/>
          <w:sz w:val="20"/>
          <w:szCs w:val="20"/>
        </w:rPr>
        <w:t xml:space="preserve"> «Валютный рынок»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0A31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При использовании сервиса ЕДП для определения возможности совершения операций и урегулирования сделок в ТС «Основной рынок», «Срочный рынок </w:t>
      </w:r>
      <w:r w:rsidRPr="00FA1117">
        <w:rPr>
          <w:rFonts w:ascii="Times New Roman" w:hAnsi="Times New Roman" w:cs="Times New Roman"/>
          <w:sz w:val="20"/>
          <w:szCs w:val="20"/>
          <w:lang w:val="en-US"/>
        </w:rPr>
        <w:t>FORTS</w:t>
      </w:r>
      <w:r w:rsidRPr="00FA1117">
        <w:rPr>
          <w:rFonts w:ascii="Times New Roman" w:hAnsi="Times New Roman" w:cs="Times New Roman"/>
          <w:sz w:val="20"/>
          <w:szCs w:val="20"/>
        </w:rPr>
        <w:t>»</w:t>
      </w:r>
      <w:r w:rsidR="003210BA">
        <w:rPr>
          <w:rFonts w:ascii="Times New Roman" w:hAnsi="Times New Roman" w:cs="Times New Roman"/>
          <w:sz w:val="20"/>
          <w:szCs w:val="20"/>
        </w:rPr>
        <w:t>, «Иностранные площадки»</w:t>
      </w:r>
      <w:r w:rsidRPr="00FA1117">
        <w:rPr>
          <w:rFonts w:ascii="Times New Roman" w:hAnsi="Times New Roman" w:cs="Times New Roman"/>
          <w:sz w:val="20"/>
          <w:szCs w:val="20"/>
        </w:rPr>
        <w:t xml:space="preserve"> и «Валютный рынок» Система использует активы клиента, зачисленные в ТС «Основной рынок» (далее счёт ЕДП).</w:t>
      </w:r>
      <w:r w:rsidR="00DB30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30E" w:rsidRPr="005F327E" w:rsidRDefault="00CB165E" w:rsidP="00464C27">
      <w:pPr>
        <w:spacing w:before="60"/>
        <w:ind w:left="709" w:hanging="349"/>
        <w:jc w:val="both"/>
      </w:pPr>
      <w:r>
        <w:t xml:space="preserve">       </w:t>
      </w:r>
      <w:r w:rsidR="00DB3064" w:rsidRPr="00AC0A31">
        <w:t>В случае</w:t>
      </w:r>
      <w:r w:rsidR="00AC0A31" w:rsidRPr="00AC0A31">
        <w:t xml:space="preserve"> использования Клиентом сервиса ЕДП</w:t>
      </w:r>
      <w:r w:rsidR="00DB3064" w:rsidRPr="00B94FA8">
        <w:t xml:space="preserve"> </w:t>
      </w:r>
      <w:r w:rsidR="00B94FA8">
        <w:t>пункт 15.2. Регламента применяется со следующими ограничениями: при зачислении</w:t>
      </w:r>
      <w:r w:rsidR="00DB3064" w:rsidRPr="00B94FA8">
        <w:t xml:space="preserve"> </w:t>
      </w:r>
      <w:r>
        <w:t xml:space="preserve">Компанией </w:t>
      </w:r>
      <w:r w:rsidR="00DB3064" w:rsidRPr="00B94FA8">
        <w:t xml:space="preserve">денежных средств </w:t>
      </w:r>
      <w:r w:rsidR="00B94FA8">
        <w:t>на инвестиционный счет Клиента</w:t>
      </w:r>
      <w:r w:rsidR="00DB3064" w:rsidRPr="00B94FA8">
        <w:t xml:space="preserve"> на основании банковской выписки</w:t>
      </w:r>
      <w:r w:rsidRPr="00CB165E">
        <w:rPr>
          <w:sz w:val="24"/>
        </w:rPr>
        <w:t xml:space="preserve"> </w:t>
      </w:r>
      <w:r>
        <w:t>со специального брокерского</w:t>
      </w:r>
      <w:r w:rsidRPr="00CB165E">
        <w:t xml:space="preserve"> счёт</w:t>
      </w:r>
      <w:r>
        <w:t>а</w:t>
      </w:r>
      <w:r w:rsidRPr="00CB165E">
        <w:t xml:space="preserve"> Компании</w:t>
      </w:r>
      <w:r w:rsidR="00DB3064" w:rsidRPr="00B94FA8">
        <w:t xml:space="preserve">, Компания зачисляет денежные средства </w:t>
      </w:r>
      <w:r w:rsidR="00B94FA8">
        <w:t>Клиента на</w:t>
      </w:r>
      <w:r w:rsidR="00DB3064" w:rsidRPr="00B94FA8">
        <w:t xml:space="preserve"> ТС «Основной рынок» вне зависимости от указанной Клиентом в назначении платежа Торговой Системы</w:t>
      </w:r>
      <w:r w:rsidR="000F0918">
        <w:t xml:space="preserve"> из числа входящих в Сервис ЕДП</w:t>
      </w:r>
      <w:r w:rsidR="00307ACD">
        <w:t>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Совершение операций </w:t>
      </w:r>
      <w:r w:rsidR="0045358C">
        <w:rPr>
          <w:rFonts w:ascii="Times New Roman" w:hAnsi="Times New Roman" w:cs="Times New Roman"/>
          <w:sz w:val="20"/>
          <w:szCs w:val="20"/>
        </w:rPr>
        <w:t xml:space="preserve">в </w:t>
      </w:r>
      <w:r w:rsidRPr="00FA1117">
        <w:rPr>
          <w:rFonts w:ascii="Times New Roman" w:hAnsi="Times New Roman" w:cs="Times New Roman"/>
          <w:sz w:val="20"/>
          <w:szCs w:val="20"/>
        </w:rPr>
        <w:t>ТС</w:t>
      </w:r>
      <w:r w:rsidR="0045358C">
        <w:rPr>
          <w:rFonts w:ascii="Times New Roman" w:hAnsi="Times New Roman" w:cs="Times New Roman"/>
          <w:sz w:val="20"/>
          <w:szCs w:val="20"/>
        </w:rPr>
        <w:t xml:space="preserve"> «Основной рынок», «Иностранные площадки», «Валютный рынок»</w:t>
      </w:r>
      <w:r w:rsidRPr="00FA1117">
        <w:rPr>
          <w:rFonts w:ascii="Times New Roman" w:hAnsi="Times New Roman" w:cs="Times New Roman"/>
          <w:sz w:val="20"/>
          <w:szCs w:val="20"/>
        </w:rPr>
        <w:t>, приводит к изменению плановых позиций по денежным средствам (включая валюту) и ценным бумагам по счёту ЕДП</w:t>
      </w:r>
      <w:r w:rsidR="007C7DA7">
        <w:rPr>
          <w:rFonts w:ascii="Times New Roman" w:hAnsi="Times New Roman" w:cs="Times New Roman"/>
          <w:sz w:val="20"/>
          <w:szCs w:val="20"/>
        </w:rPr>
        <w:t>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Требования/обязательства клиента по получению/уплате Вариационной маржи в ТС «Срочный рынок </w:t>
      </w:r>
      <w:r w:rsidRPr="00FA1117">
        <w:rPr>
          <w:rFonts w:ascii="Times New Roman" w:hAnsi="Times New Roman" w:cs="Times New Roman"/>
          <w:sz w:val="20"/>
          <w:szCs w:val="20"/>
          <w:lang w:val="en-US"/>
        </w:rPr>
        <w:t>FORTS</w:t>
      </w:r>
      <w:r w:rsidRPr="00FA1117">
        <w:rPr>
          <w:rFonts w:ascii="Times New Roman" w:hAnsi="Times New Roman" w:cs="Times New Roman"/>
          <w:sz w:val="20"/>
          <w:szCs w:val="20"/>
        </w:rPr>
        <w:t>» учитываются Системой по денежной позиции счёта ЕДП.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Система рассчитывает стоимость портфеля в</w:t>
      </w:r>
      <w:r>
        <w:rPr>
          <w:rFonts w:ascii="Times New Roman" w:hAnsi="Times New Roman" w:cs="Times New Roman"/>
          <w:sz w:val="20"/>
          <w:szCs w:val="20"/>
        </w:rPr>
        <w:t xml:space="preserve"> соответствии с алгоритмами, описанными в </w:t>
      </w:r>
      <w:r w:rsidR="003073E8">
        <w:rPr>
          <w:rFonts w:ascii="Times New Roman" w:hAnsi="Times New Roman" w:cs="Times New Roman"/>
          <w:sz w:val="20"/>
          <w:szCs w:val="20"/>
        </w:rPr>
        <w:t>нормативных актах</w:t>
      </w:r>
      <w:r w:rsidR="003073E8" w:rsidRPr="00FA1117">
        <w:rPr>
          <w:rFonts w:ascii="Times New Roman" w:hAnsi="Times New Roman" w:cs="Times New Roman"/>
          <w:sz w:val="20"/>
          <w:szCs w:val="20"/>
        </w:rPr>
        <w:t xml:space="preserve"> </w:t>
      </w:r>
      <w:r w:rsidR="003073E8">
        <w:rPr>
          <w:rFonts w:ascii="Times New Roman" w:hAnsi="Times New Roman" w:cs="Times New Roman"/>
          <w:sz w:val="20"/>
          <w:szCs w:val="20"/>
        </w:rPr>
        <w:t xml:space="preserve">Банка России, в частности в указании Банка России от </w:t>
      </w:r>
      <w:proofErr w:type="gramStart"/>
      <w:r w:rsidR="0045358C">
        <w:rPr>
          <w:rFonts w:ascii="Times New Roman" w:hAnsi="Times New Roman" w:cs="Times New Roman"/>
          <w:sz w:val="20"/>
          <w:szCs w:val="20"/>
        </w:rPr>
        <w:t>08</w:t>
      </w:r>
      <w:r w:rsidR="003073E8">
        <w:rPr>
          <w:rFonts w:ascii="Times New Roman" w:hAnsi="Times New Roman" w:cs="Times New Roman"/>
          <w:sz w:val="20"/>
          <w:szCs w:val="20"/>
        </w:rPr>
        <w:t>.</w:t>
      </w:r>
      <w:r w:rsidR="0045358C">
        <w:rPr>
          <w:rFonts w:ascii="Times New Roman" w:hAnsi="Times New Roman" w:cs="Times New Roman"/>
          <w:sz w:val="20"/>
          <w:szCs w:val="20"/>
        </w:rPr>
        <w:t>10</w:t>
      </w:r>
      <w:r w:rsidR="003073E8">
        <w:rPr>
          <w:rFonts w:ascii="Times New Roman" w:hAnsi="Times New Roman" w:cs="Times New Roman"/>
          <w:sz w:val="20"/>
          <w:szCs w:val="20"/>
        </w:rPr>
        <w:t>.201</w:t>
      </w:r>
      <w:r w:rsidR="0045358C">
        <w:rPr>
          <w:rFonts w:ascii="Times New Roman" w:hAnsi="Times New Roman" w:cs="Times New Roman"/>
          <w:sz w:val="20"/>
          <w:szCs w:val="20"/>
        </w:rPr>
        <w:t>8</w:t>
      </w:r>
      <w:r w:rsidR="003073E8">
        <w:rPr>
          <w:rFonts w:ascii="Times New Roman" w:hAnsi="Times New Roman" w:cs="Times New Roman"/>
          <w:sz w:val="20"/>
          <w:szCs w:val="20"/>
        </w:rPr>
        <w:t xml:space="preserve"> </w:t>
      </w:r>
      <w:r w:rsidRPr="00FA1117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End"/>
      <w:r w:rsidR="0045358C">
        <w:rPr>
          <w:rFonts w:ascii="Times New Roman" w:hAnsi="Times New Roman" w:cs="Times New Roman"/>
          <w:sz w:val="20"/>
          <w:szCs w:val="20"/>
        </w:rPr>
        <w:t>4928</w:t>
      </w:r>
      <w:r w:rsidRPr="00FA1117">
        <w:rPr>
          <w:rFonts w:ascii="Times New Roman" w:hAnsi="Times New Roman" w:cs="Times New Roman"/>
          <w:sz w:val="20"/>
          <w:szCs w:val="20"/>
        </w:rPr>
        <w:t>-У</w:t>
      </w:r>
      <w:r w:rsidR="003073E8">
        <w:rPr>
          <w:rFonts w:ascii="Times New Roman" w:hAnsi="Times New Roman" w:cs="Times New Roman"/>
          <w:sz w:val="20"/>
          <w:szCs w:val="20"/>
        </w:rPr>
        <w:t xml:space="preserve"> (</w:t>
      </w:r>
      <w:r w:rsidR="003073E8" w:rsidRPr="003073E8">
        <w:rPr>
          <w:rFonts w:ascii="Times New Roman" w:hAnsi="Times New Roman" w:cs="Times New Roman"/>
          <w:sz w:val="20"/>
          <w:szCs w:val="20"/>
        </w:rPr>
        <w:t>далее – Указание №</w:t>
      </w:r>
      <w:r w:rsidR="0045358C">
        <w:rPr>
          <w:rFonts w:ascii="Times New Roman" w:hAnsi="Times New Roman" w:cs="Times New Roman"/>
          <w:sz w:val="20"/>
          <w:szCs w:val="20"/>
        </w:rPr>
        <w:t>4928</w:t>
      </w:r>
      <w:r w:rsidR="003073E8" w:rsidRPr="003073E8">
        <w:rPr>
          <w:rFonts w:ascii="Times New Roman" w:hAnsi="Times New Roman" w:cs="Times New Roman"/>
          <w:sz w:val="20"/>
          <w:szCs w:val="20"/>
        </w:rPr>
        <w:t>-У)</w:t>
      </w:r>
      <w:r w:rsidRPr="00FA1117">
        <w:rPr>
          <w:rFonts w:ascii="Times New Roman" w:hAnsi="Times New Roman" w:cs="Times New Roman"/>
          <w:sz w:val="20"/>
          <w:szCs w:val="20"/>
        </w:rPr>
        <w:t>. Плановая денежная позиция при расчёте формируется с учётом пунктов 2-</w:t>
      </w:r>
      <w:r w:rsidR="0045358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настоящего Приложения</w:t>
      </w:r>
      <w:r w:rsidRPr="00FA1117">
        <w:rPr>
          <w:rFonts w:ascii="Times New Roman" w:hAnsi="Times New Roman" w:cs="Times New Roman"/>
          <w:sz w:val="20"/>
          <w:szCs w:val="20"/>
        </w:rPr>
        <w:t>.</w:t>
      </w:r>
    </w:p>
    <w:p w:rsidR="00B63D76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Требования по начальной и минимальной марже</w:t>
      </w:r>
      <w:r w:rsidR="009C079C">
        <w:rPr>
          <w:rFonts w:ascii="Times New Roman" w:hAnsi="Times New Roman" w:cs="Times New Roman"/>
          <w:sz w:val="20"/>
          <w:szCs w:val="20"/>
        </w:rPr>
        <w:t xml:space="preserve">, </w:t>
      </w:r>
      <w:r w:rsidR="009C079C" w:rsidRPr="00BA2D2D">
        <w:rPr>
          <w:rFonts w:ascii="Times New Roman" w:hAnsi="Times New Roman" w:cs="Times New Roman"/>
          <w:sz w:val="20"/>
          <w:szCs w:val="20"/>
        </w:rPr>
        <w:t>значени</w:t>
      </w:r>
      <w:r w:rsidR="009C079C">
        <w:rPr>
          <w:rFonts w:ascii="Times New Roman" w:hAnsi="Times New Roman" w:cs="Times New Roman"/>
          <w:sz w:val="20"/>
          <w:szCs w:val="20"/>
        </w:rPr>
        <w:t>я</w:t>
      </w:r>
      <w:r w:rsidR="009C079C" w:rsidRPr="00BA2D2D">
        <w:rPr>
          <w:rFonts w:ascii="Times New Roman" w:hAnsi="Times New Roman" w:cs="Times New Roman"/>
          <w:sz w:val="20"/>
          <w:szCs w:val="20"/>
        </w:rPr>
        <w:t xml:space="preserve"> НПР1 и НПР2</w:t>
      </w:r>
      <w:r w:rsidRPr="00FA1117">
        <w:rPr>
          <w:rFonts w:ascii="Times New Roman" w:hAnsi="Times New Roman" w:cs="Times New Roman"/>
          <w:sz w:val="20"/>
          <w:szCs w:val="20"/>
        </w:rPr>
        <w:t xml:space="preserve"> по счёту ЕДП клиента рассчитываются в соответствии с </w:t>
      </w:r>
      <w:r>
        <w:rPr>
          <w:rFonts w:ascii="Times New Roman" w:hAnsi="Times New Roman" w:cs="Times New Roman"/>
          <w:sz w:val="20"/>
          <w:szCs w:val="20"/>
        </w:rPr>
        <w:t>алгоритмами</w:t>
      </w:r>
      <w:r w:rsidRPr="00FA1117">
        <w:rPr>
          <w:rFonts w:ascii="Times New Roman" w:hAnsi="Times New Roman" w:cs="Times New Roman"/>
          <w:sz w:val="20"/>
          <w:szCs w:val="20"/>
        </w:rPr>
        <w:t xml:space="preserve"> </w:t>
      </w:r>
      <w:r w:rsidR="009C079C">
        <w:rPr>
          <w:rFonts w:ascii="Times New Roman" w:hAnsi="Times New Roman" w:cs="Times New Roman"/>
          <w:sz w:val="20"/>
          <w:szCs w:val="20"/>
        </w:rPr>
        <w:t>У</w:t>
      </w:r>
      <w:r w:rsidR="009C079C" w:rsidRPr="00FA1117">
        <w:rPr>
          <w:rFonts w:ascii="Times New Roman" w:hAnsi="Times New Roman" w:cs="Times New Roman"/>
          <w:sz w:val="20"/>
          <w:szCs w:val="20"/>
        </w:rPr>
        <w:t>казания №</w:t>
      </w:r>
      <w:r w:rsidR="0045358C">
        <w:rPr>
          <w:rFonts w:ascii="Times New Roman" w:hAnsi="Times New Roman" w:cs="Times New Roman"/>
          <w:sz w:val="20"/>
          <w:szCs w:val="20"/>
        </w:rPr>
        <w:t>4928</w:t>
      </w:r>
      <w:r w:rsidRPr="00FA1117">
        <w:rPr>
          <w:rFonts w:ascii="Times New Roman" w:hAnsi="Times New Roman" w:cs="Times New Roman"/>
          <w:sz w:val="20"/>
          <w:szCs w:val="20"/>
        </w:rPr>
        <w:t>-У</w:t>
      </w:r>
      <w:r w:rsidR="003073E8">
        <w:rPr>
          <w:rFonts w:ascii="Times New Roman" w:hAnsi="Times New Roman" w:cs="Times New Roman"/>
          <w:sz w:val="20"/>
          <w:szCs w:val="20"/>
        </w:rPr>
        <w:t>.</w:t>
      </w:r>
    </w:p>
    <w:p w:rsidR="0066230E" w:rsidRPr="00BA2D2D" w:rsidRDefault="00B63D76" w:rsidP="00BA2D2D">
      <w:pPr>
        <w:pStyle w:val="ac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95694">
        <w:rPr>
          <w:rFonts w:ascii="Times New Roman" w:hAnsi="Times New Roman" w:cs="Times New Roman"/>
          <w:sz w:val="20"/>
          <w:szCs w:val="20"/>
        </w:rPr>
        <w:t xml:space="preserve"> соответствии с Указанием №4928-У Компания вправе рассчитывать уменьшенный размер начальной маржи исходя из наличия зависимости между изменениями цен </w:t>
      </w:r>
      <w:r w:rsidR="00042502" w:rsidRPr="00042502">
        <w:rPr>
          <w:rFonts w:ascii="Times New Roman" w:hAnsi="Times New Roman" w:cs="Times New Roman"/>
          <w:sz w:val="20"/>
          <w:szCs w:val="20"/>
        </w:rPr>
        <w:t>ценных бумаг, курсов иностранных валют, цен фьючерсных договоров и изменениями опред</w:t>
      </w:r>
      <w:r w:rsidR="00042502">
        <w:rPr>
          <w:rFonts w:ascii="Times New Roman" w:hAnsi="Times New Roman" w:cs="Times New Roman"/>
          <w:sz w:val="20"/>
          <w:szCs w:val="20"/>
        </w:rPr>
        <w:t>еленных в соответствии с п. 23</w:t>
      </w:r>
      <w:r w:rsidR="00042502" w:rsidRPr="00042502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042502">
        <w:rPr>
          <w:rFonts w:ascii="Times New Roman" w:hAnsi="Times New Roman" w:cs="Times New Roman"/>
          <w:sz w:val="20"/>
          <w:szCs w:val="20"/>
        </w:rPr>
        <w:t>к Указанию №4928-</w:t>
      </w:r>
      <w:r w:rsidR="00042502" w:rsidRPr="00086520">
        <w:rPr>
          <w:rFonts w:ascii="Times New Roman" w:hAnsi="Times New Roman" w:cs="Times New Roman"/>
          <w:sz w:val="20"/>
          <w:szCs w:val="20"/>
        </w:rPr>
        <w:t>У цены (курса, пунктов) имущества, фьючерсного договора или инд</w:t>
      </w:r>
      <w:r w:rsidR="002809FB" w:rsidRPr="00086520">
        <w:rPr>
          <w:rFonts w:ascii="Times New Roman" w:hAnsi="Times New Roman" w:cs="Times New Roman"/>
          <w:sz w:val="20"/>
          <w:szCs w:val="20"/>
        </w:rPr>
        <w:t xml:space="preserve">екса (далее – базовый </w:t>
      </w:r>
      <w:r w:rsidR="00375BC4">
        <w:rPr>
          <w:rFonts w:ascii="Times New Roman" w:hAnsi="Times New Roman" w:cs="Times New Roman"/>
          <w:sz w:val="20"/>
          <w:szCs w:val="20"/>
        </w:rPr>
        <w:t>индикатор)</w:t>
      </w:r>
      <w:r w:rsidR="00095694" w:rsidRPr="007F5113">
        <w:rPr>
          <w:rFonts w:ascii="Times New Roman" w:hAnsi="Times New Roman" w:cs="Times New Roman"/>
          <w:sz w:val="20"/>
          <w:szCs w:val="20"/>
        </w:rPr>
        <w:t>.</w:t>
      </w:r>
      <w:r w:rsidR="00095694" w:rsidRPr="00BA2D2D">
        <w:rPr>
          <w:rFonts w:ascii="Times New Roman" w:hAnsi="Times New Roman" w:cs="Times New Roman"/>
          <w:sz w:val="20"/>
          <w:szCs w:val="20"/>
        </w:rPr>
        <w:t xml:space="preserve"> В этом случае Компания определяет набор множеств ценных бумаг</w:t>
      </w:r>
      <w:r w:rsidR="007F5113">
        <w:rPr>
          <w:rFonts w:ascii="Times New Roman" w:hAnsi="Times New Roman" w:cs="Times New Roman"/>
          <w:sz w:val="20"/>
          <w:szCs w:val="20"/>
        </w:rPr>
        <w:t xml:space="preserve">, </w:t>
      </w:r>
      <w:r w:rsidR="00095694" w:rsidRPr="00BA2D2D">
        <w:rPr>
          <w:rFonts w:ascii="Times New Roman" w:hAnsi="Times New Roman" w:cs="Times New Roman"/>
          <w:sz w:val="20"/>
          <w:szCs w:val="20"/>
        </w:rPr>
        <w:t>фьючерсных договоров</w:t>
      </w:r>
      <w:r w:rsidR="007F5113">
        <w:rPr>
          <w:rFonts w:ascii="Times New Roman" w:hAnsi="Times New Roman" w:cs="Times New Roman"/>
          <w:sz w:val="20"/>
          <w:szCs w:val="20"/>
        </w:rPr>
        <w:t>, иностранных валют</w:t>
      </w:r>
      <w:r w:rsidR="00095694" w:rsidRPr="00BA2D2D">
        <w:rPr>
          <w:rFonts w:ascii="Times New Roman" w:hAnsi="Times New Roman" w:cs="Times New Roman"/>
          <w:sz w:val="20"/>
          <w:szCs w:val="20"/>
        </w:rPr>
        <w:t xml:space="preserve"> (множества с зависимыми ценами), а также соответствующие этим множествам базовые индикаторы, по отношению к которым определяются относительные ставки риска. Список </w:t>
      </w:r>
      <w:r w:rsidR="00086520" w:rsidRPr="00BA2D2D">
        <w:rPr>
          <w:rFonts w:ascii="Times New Roman" w:hAnsi="Times New Roman" w:cs="Times New Roman"/>
          <w:sz w:val="20"/>
          <w:szCs w:val="20"/>
        </w:rPr>
        <w:t>ценных бумаг/фьючерсных договоров/</w:t>
      </w:r>
      <w:r w:rsidR="007F5113">
        <w:rPr>
          <w:rFonts w:ascii="Times New Roman" w:hAnsi="Times New Roman" w:cs="Times New Roman"/>
          <w:sz w:val="20"/>
          <w:szCs w:val="20"/>
        </w:rPr>
        <w:t xml:space="preserve">иностранных </w:t>
      </w:r>
      <w:r w:rsidR="00086520" w:rsidRPr="00BA2D2D">
        <w:rPr>
          <w:rFonts w:ascii="Times New Roman" w:hAnsi="Times New Roman" w:cs="Times New Roman"/>
          <w:sz w:val="20"/>
          <w:szCs w:val="20"/>
        </w:rPr>
        <w:t>валют, входящих во множества с зависимыми ценами, базовые индикаторы</w:t>
      </w:r>
      <w:r w:rsidRPr="007F5113">
        <w:rPr>
          <w:rFonts w:ascii="Times New Roman" w:hAnsi="Times New Roman" w:cs="Times New Roman"/>
          <w:sz w:val="20"/>
          <w:szCs w:val="20"/>
        </w:rPr>
        <w:t xml:space="preserve"> и относительные ставки риска </w:t>
      </w:r>
      <w:r w:rsidRPr="00BA2D2D">
        <w:rPr>
          <w:rFonts w:ascii="Times New Roman" w:hAnsi="Times New Roman" w:cs="Times New Roman"/>
          <w:sz w:val="20"/>
          <w:szCs w:val="20"/>
        </w:rPr>
        <w:t>публикуются на сайте Компании.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Компания вправе не заключать по поручению Клиента сделки, в результате которых величина Стоимости портфеля по счёту ЕДП станет ниже уровня начальной маржи по счёту ЕДП</w:t>
      </w:r>
      <w:r w:rsidR="009C079C">
        <w:rPr>
          <w:rFonts w:ascii="Times New Roman" w:hAnsi="Times New Roman" w:cs="Times New Roman"/>
          <w:sz w:val="20"/>
          <w:szCs w:val="20"/>
        </w:rPr>
        <w:t xml:space="preserve"> (значение НПР1 станет меньше 0)</w:t>
      </w:r>
      <w:r w:rsidR="00307ACD">
        <w:rPr>
          <w:rFonts w:ascii="Times New Roman" w:hAnsi="Times New Roman" w:cs="Times New Roman"/>
          <w:sz w:val="20"/>
          <w:szCs w:val="20"/>
        </w:rPr>
        <w:t>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В случае снижения Стоимости портфеля клиента по счёту ЕДП ниже Размера начальной маржи, Компания направляет Клиенту одним из предусмотренных Регламентом способов Уведомление о необходимости закрытия всех (части) позиций или </w:t>
      </w:r>
      <w:proofErr w:type="spellStart"/>
      <w:r w:rsidRPr="00FA1117">
        <w:rPr>
          <w:rFonts w:ascii="Times New Roman" w:hAnsi="Times New Roman" w:cs="Times New Roman"/>
          <w:sz w:val="20"/>
          <w:szCs w:val="20"/>
        </w:rPr>
        <w:t>довнесения</w:t>
      </w:r>
      <w:proofErr w:type="spellEnd"/>
      <w:r w:rsidRPr="00FA1117">
        <w:rPr>
          <w:rFonts w:ascii="Times New Roman" w:hAnsi="Times New Roman" w:cs="Times New Roman"/>
          <w:sz w:val="20"/>
          <w:szCs w:val="20"/>
        </w:rPr>
        <w:t xml:space="preserve"> на счёт ЕДП активов в объёме, достаточном для повышения Стоимости портфеля до уровня величины начальной маржи</w:t>
      </w:r>
      <w:r w:rsidR="00307ACD">
        <w:rPr>
          <w:rFonts w:ascii="Times New Roman" w:hAnsi="Times New Roman" w:cs="Times New Roman"/>
          <w:sz w:val="20"/>
          <w:szCs w:val="20"/>
        </w:rPr>
        <w:t>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При снижении Стоимости портфеля ниже Размера минимальной маржи по счёту ЕДП</w:t>
      </w:r>
      <w:r w:rsidR="009C079C">
        <w:rPr>
          <w:rFonts w:ascii="Times New Roman" w:hAnsi="Times New Roman" w:cs="Times New Roman"/>
          <w:sz w:val="20"/>
          <w:szCs w:val="20"/>
        </w:rPr>
        <w:t xml:space="preserve"> (</w:t>
      </w:r>
      <w:r w:rsidR="002258BD">
        <w:rPr>
          <w:rFonts w:ascii="Times New Roman" w:hAnsi="Times New Roman" w:cs="Times New Roman"/>
          <w:sz w:val="20"/>
          <w:szCs w:val="20"/>
        </w:rPr>
        <w:t>при снижении величины</w:t>
      </w:r>
      <w:r w:rsidR="009C079C">
        <w:rPr>
          <w:rFonts w:ascii="Times New Roman" w:hAnsi="Times New Roman" w:cs="Times New Roman"/>
          <w:sz w:val="20"/>
          <w:szCs w:val="20"/>
        </w:rPr>
        <w:t xml:space="preserve"> НПР2 ниже 0)</w:t>
      </w:r>
      <w:r w:rsidRPr="00FA1117">
        <w:rPr>
          <w:rFonts w:ascii="Times New Roman" w:hAnsi="Times New Roman" w:cs="Times New Roman"/>
          <w:sz w:val="20"/>
          <w:szCs w:val="20"/>
        </w:rPr>
        <w:t xml:space="preserve"> Компания в соответствии с </w:t>
      </w:r>
      <w:r w:rsidR="003073E8">
        <w:rPr>
          <w:rFonts w:ascii="Times New Roman" w:hAnsi="Times New Roman" w:cs="Times New Roman"/>
          <w:sz w:val="20"/>
          <w:szCs w:val="20"/>
        </w:rPr>
        <w:t>У</w:t>
      </w:r>
      <w:r w:rsidRPr="00FA1117">
        <w:rPr>
          <w:rFonts w:ascii="Times New Roman" w:hAnsi="Times New Roman" w:cs="Times New Roman"/>
          <w:sz w:val="20"/>
          <w:szCs w:val="20"/>
        </w:rPr>
        <w:t>казанием №</w:t>
      </w:r>
      <w:r w:rsidR="0045358C">
        <w:rPr>
          <w:rFonts w:ascii="Times New Roman" w:hAnsi="Times New Roman" w:cs="Times New Roman"/>
          <w:sz w:val="20"/>
          <w:szCs w:val="20"/>
        </w:rPr>
        <w:t>4928</w:t>
      </w:r>
      <w:r w:rsidRPr="00FA1117">
        <w:rPr>
          <w:rFonts w:ascii="Times New Roman" w:hAnsi="Times New Roman" w:cs="Times New Roman"/>
          <w:sz w:val="20"/>
          <w:szCs w:val="20"/>
        </w:rPr>
        <w:t>-У принудительно закрывает позиции Клиента в любой из ТС, входящих в сервис ЕДП, до восстановления факта превышения величины Стоимости портфеля над уровнем Начальной маржи.</w:t>
      </w:r>
    </w:p>
    <w:p w:rsidR="0066230E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При использовании сервиса ЕДП может взиматься дополнительная комиссия за недостаток средств гарантийного обеспечения. </w:t>
      </w:r>
      <w:r w:rsidR="0045358C">
        <w:rPr>
          <w:rFonts w:ascii="Times New Roman" w:hAnsi="Times New Roman" w:cs="Times New Roman"/>
          <w:sz w:val="20"/>
          <w:szCs w:val="20"/>
        </w:rPr>
        <w:t>Под средствами гарантийного обеспечения в данном случае понима</w:t>
      </w:r>
      <w:r w:rsidR="00007765">
        <w:rPr>
          <w:rFonts w:ascii="Times New Roman" w:hAnsi="Times New Roman" w:cs="Times New Roman"/>
          <w:sz w:val="20"/>
          <w:szCs w:val="20"/>
        </w:rPr>
        <w:t>ю</w:t>
      </w:r>
      <w:r w:rsidR="0045358C">
        <w:rPr>
          <w:rFonts w:ascii="Times New Roman" w:hAnsi="Times New Roman" w:cs="Times New Roman"/>
          <w:sz w:val="20"/>
          <w:szCs w:val="20"/>
        </w:rPr>
        <w:t xml:space="preserve">тся обязательства Компании перед ТС «Срочный рынок» по внесению гарантийного обеспечения на счёт Клиента под открытые Клиентом позиции в ТС «Срочный рынок». </w:t>
      </w:r>
      <w:r w:rsidRPr="00FA1117">
        <w:rPr>
          <w:rFonts w:ascii="Times New Roman" w:hAnsi="Times New Roman" w:cs="Times New Roman"/>
          <w:sz w:val="20"/>
          <w:szCs w:val="20"/>
        </w:rPr>
        <w:t>Под недостатком средств гарантийного обеспечения понимается положительное значение разности между суммой обязательств К</w:t>
      </w:r>
      <w:r w:rsidR="0045358C">
        <w:rPr>
          <w:rFonts w:ascii="Times New Roman" w:hAnsi="Times New Roman" w:cs="Times New Roman"/>
          <w:sz w:val="20"/>
          <w:szCs w:val="20"/>
        </w:rPr>
        <w:t>омпании</w:t>
      </w:r>
      <w:r w:rsidRPr="00FA1117">
        <w:rPr>
          <w:rFonts w:ascii="Times New Roman" w:hAnsi="Times New Roman" w:cs="Times New Roman"/>
          <w:sz w:val="20"/>
          <w:szCs w:val="20"/>
        </w:rPr>
        <w:t xml:space="preserve"> по внесению ГО по всем открытым позициям</w:t>
      </w:r>
      <w:r w:rsidR="0045358C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FA1117">
        <w:rPr>
          <w:rFonts w:ascii="Times New Roman" w:hAnsi="Times New Roman" w:cs="Times New Roman"/>
          <w:sz w:val="20"/>
          <w:szCs w:val="20"/>
        </w:rPr>
        <w:t xml:space="preserve"> в ТС «Срочный рынок </w:t>
      </w:r>
      <w:r w:rsidRPr="00FA1117">
        <w:rPr>
          <w:rFonts w:ascii="Times New Roman" w:hAnsi="Times New Roman" w:cs="Times New Roman"/>
          <w:sz w:val="20"/>
          <w:szCs w:val="20"/>
          <w:lang w:val="en-US"/>
        </w:rPr>
        <w:t>FORTS</w:t>
      </w:r>
      <w:r w:rsidRPr="00FA1117">
        <w:rPr>
          <w:rFonts w:ascii="Times New Roman" w:hAnsi="Times New Roman" w:cs="Times New Roman"/>
          <w:sz w:val="20"/>
          <w:szCs w:val="20"/>
        </w:rPr>
        <w:t xml:space="preserve">» и суммой денежных </w:t>
      </w:r>
      <w:r w:rsidRPr="00FA1117">
        <w:rPr>
          <w:rFonts w:ascii="Times New Roman" w:hAnsi="Times New Roman" w:cs="Times New Roman"/>
          <w:sz w:val="20"/>
          <w:szCs w:val="20"/>
        </w:rPr>
        <w:lastRenderedPageBreak/>
        <w:t>средств Клиента, предназначенных для урегулирования сделок на счёте ЕДП, но не более самой суммы обязательства по внесению ГО. При наличии такой задолженности Компания начисляет комиссионное вознаграждение на сумму задолженности, начиная с дня её образования, в соответствии с тарифами Компании.</w:t>
      </w:r>
    </w:p>
    <w:p w:rsidR="005F327E" w:rsidRPr="00FA1117" w:rsidRDefault="005F327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Сервиса ЕДП в состав</w:t>
      </w:r>
      <w:r w:rsidR="00F546AB">
        <w:rPr>
          <w:rFonts w:ascii="Times New Roman" w:hAnsi="Times New Roman" w:cs="Times New Roman"/>
          <w:sz w:val="20"/>
          <w:szCs w:val="20"/>
        </w:rPr>
        <w:t xml:space="preserve"> </w:t>
      </w:r>
      <w:r w:rsidR="008418C7">
        <w:rPr>
          <w:rFonts w:ascii="Times New Roman" w:hAnsi="Times New Roman" w:cs="Times New Roman"/>
          <w:sz w:val="20"/>
          <w:szCs w:val="20"/>
        </w:rPr>
        <w:t>которого включена ТС «Валютный рынок»</w:t>
      </w:r>
      <w:r>
        <w:rPr>
          <w:rFonts w:ascii="Times New Roman" w:hAnsi="Times New Roman" w:cs="Times New Roman"/>
          <w:sz w:val="20"/>
          <w:szCs w:val="20"/>
        </w:rPr>
        <w:t xml:space="preserve"> Комиссия Компании за отзыв денежных средств в иностранной валюте со счёта ЕДП взимается по правилам и ставкам, определённым в пунктах 4.5, 4.6 </w:t>
      </w:r>
      <w:r w:rsidR="003B21E7">
        <w:rPr>
          <w:rFonts w:ascii="Times New Roman" w:hAnsi="Times New Roman" w:cs="Times New Roman"/>
          <w:sz w:val="20"/>
          <w:szCs w:val="20"/>
        </w:rPr>
        <w:t>Тарифов Компании (Приложение №3 к Регламенту оказания брокерских услуг КИТ Финанс (АО)).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В случае использования сервиса ЕДП в комбинации «Основной рынок»,</w:t>
      </w:r>
      <w:r w:rsidR="003210BA">
        <w:rPr>
          <w:rFonts w:ascii="Times New Roman" w:hAnsi="Times New Roman" w:cs="Times New Roman"/>
          <w:sz w:val="20"/>
          <w:szCs w:val="20"/>
        </w:rPr>
        <w:t xml:space="preserve"> «Иностранные площадки»</w:t>
      </w:r>
      <w:r w:rsidRPr="00FA1117">
        <w:rPr>
          <w:rFonts w:ascii="Times New Roman" w:hAnsi="Times New Roman" w:cs="Times New Roman"/>
          <w:sz w:val="20"/>
          <w:szCs w:val="20"/>
        </w:rPr>
        <w:t xml:space="preserve"> «Срочный рынок» перенос непокрытых позиций осуществляется в соответствии с Частью 9 Регламента. Определение денежной позиции, достаточной для урегулирования сделок</w:t>
      </w:r>
      <w:r w:rsidR="003073E8">
        <w:rPr>
          <w:rFonts w:ascii="Times New Roman" w:hAnsi="Times New Roman" w:cs="Times New Roman"/>
          <w:sz w:val="20"/>
          <w:szCs w:val="20"/>
        </w:rPr>
        <w:t>,</w:t>
      </w:r>
      <w:r w:rsidRPr="00FA1117">
        <w:rPr>
          <w:rFonts w:ascii="Times New Roman" w:hAnsi="Times New Roman" w:cs="Times New Roman"/>
          <w:sz w:val="20"/>
          <w:szCs w:val="20"/>
        </w:rPr>
        <w:t xml:space="preserve"> ведётся при этом с учётом пунктов 4-5 настоящего Приложения.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В случае использования сервиса ЕДП</w:t>
      </w:r>
      <w:r w:rsidR="00307ACD">
        <w:rPr>
          <w:rFonts w:ascii="Times New Roman" w:hAnsi="Times New Roman" w:cs="Times New Roman"/>
          <w:sz w:val="20"/>
          <w:szCs w:val="20"/>
        </w:rPr>
        <w:t>,</w:t>
      </w:r>
      <w:r w:rsidRPr="00FA1117">
        <w:rPr>
          <w:rFonts w:ascii="Times New Roman" w:hAnsi="Times New Roman" w:cs="Times New Roman"/>
          <w:sz w:val="20"/>
          <w:szCs w:val="20"/>
        </w:rPr>
        <w:t xml:space="preserve"> в </w:t>
      </w:r>
      <w:r w:rsidR="008418C7">
        <w:rPr>
          <w:rFonts w:ascii="Times New Roman" w:hAnsi="Times New Roman" w:cs="Times New Roman"/>
          <w:sz w:val="20"/>
          <w:szCs w:val="20"/>
        </w:rPr>
        <w:t xml:space="preserve">состав которого входит ТС </w:t>
      </w:r>
      <w:r w:rsidRPr="00FA1117">
        <w:rPr>
          <w:rFonts w:ascii="Times New Roman" w:hAnsi="Times New Roman" w:cs="Times New Roman"/>
          <w:sz w:val="20"/>
          <w:szCs w:val="20"/>
        </w:rPr>
        <w:t>«Валютный рынок»</w:t>
      </w:r>
      <w:r w:rsidR="00307ACD">
        <w:rPr>
          <w:rFonts w:ascii="Times New Roman" w:hAnsi="Times New Roman" w:cs="Times New Roman"/>
          <w:sz w:val="20"/>
          <w:szCs w:val="20"/>
        </w:rPr>
        <w:t>,</w:t>
      </w:r>
      <w:r w:rsidRPr="00FA1117">
        <w:rPr>
          <w:rFonts w:ascii="Times New Roman" w:hAnsi="Times New Roman" w:cs="Times New Roman"/>
          <w:sz w:val="20"/>
          <w:szCs w:val="20"/>
        </w:rPr>
        <w:t xml:space="preserve"> урегулирование сделок и перенос непокрытых обязательств клиента осуществляется следующим образом:</w:t>
      </w:r>
    </w:p>
    <w:p w:rsidR="008418C7" w:rsidRDefault="0066230E" w:rsidP="008418C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Для проведения расчётов по ранее заключённым сделкам Клиент обязан</w:t>
      </w:r>
      <w:r w:rsidR="008418C7">
        <w:rPr>
          <w:rFonts w:ascii="Times New Roman" w:hAnsi="Times New Roman" w:cs="Times New Roman"/>
          <w:sz w:val="20"/>
          <w:szCs w:val="20"/>
        </w:rPr>
        <w:t>:</w:t>
      </w:r>
    </w:p>
    <w:p w:rsidR="0066230E" w:rsidRDefault="0066230E" w:rsidP="00607BBB">
      <w:pPr>
        <w:pStyle w:val="ac"/>
        <w:spacing w:before="60" w:after="0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418C7">
        <w:rPr>
          <w:rFonts w:ascii="Times New Roman" w:hAnsi="Times New Roman" w:cs="Times New Roman"/>
          <w:sz w:val="20"/>
          <w:szCs w:val="20"/>
        </w:rPr>
        <w:t xml:space="preserve"> до 1</w:t>
      </w:r>
      <w:r w:rsidR="005A7499" w:rsidRPr="008418C7">
        <w:rPr>
          <w:rFonts w:ascii="Times New Roman" w:hAnsi="Times New Roman" w:cs="Times New Roman"/>
          <w:sz w:val="20"/>
          <w:szCs w:val="20"/>
        </w:rPr>
        <w:t>7</w:t>
      </w:r>
      <w:r w:rsidRPr="00607BBB">
        <w:rPr>
          <w:rFonts w:ascii="Times New Roman" w:hAnsi="Times New Roman" w:cs="Times New Roman"/>
          <w:sz w:val="20"/>
          <w:szCs w:val="20"/>
        </w:rPr>
        <w:t xml:space="preserve">:00 по московскому времени обеспечить на счёте ЕДП </w:t>
      </w:r>
      <w:r w:rsidR="00307ACD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="008418C7">
        <w:rPr>
          <w:rFonts w:ascii="Times New Roman" w:hAnsi="Times New Roman" w:cs="Times New Roman"/>
          <w:sz w:val="20"/>
          <w:szCs w:val="20"/>
        </w:rPr>
        <w:t>денежны</w:t>
      </w:r>
      <w:r w:rsidR="00307ACD">
        <w:rPr>
          <w:rFonts w:ascii="Times New Roman" w:hAnsi="Times New Roman" w:cs="Times New Roman"/>
          <w:sz w:val="20"/>
          <w:szCs w:val="20"/>
        </w:rPr>
        <w:t>х</w:t>
      </w:r>
      <w:r w:rsidR="008418C7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F546AB">
        <w:rPr>
          <w:rFonts w:ascii="Times New Roman" w:hAnsi="Times New Roman" w:cs="Times New Roman"/>
          <w:sz w:val="20"/>
          <w:szCs w:val="20"/>
        </w:rPr>
        <w:t xml:space="preserve"> </w:t>
      </w:r>
      <w:r w:rsidRPr="00607BBB">
        <w:rPr>
          <w:rFonts w:ascii="Times New Roman" w:hAnsi="Times New Roman" w:cs="Times New Roman"/>
          <w:sz w:val="20"/>
          <w:szCs w:val="20"/>
        </w:rPr>
        <w:t>в размере нетто-обязательств, определённых по совокупности сделок, совершённых в торговых системах, входящих в сервис ЕДП и имеющих текущую (сегодняшнюю) дату расчётов, а также с учётом пунктов 4-5 настоящего Приложения</w:t>
      </w:r>
      <w:r w:rsidR="008418C7" w:rsidRPr="00607BBB">
        <w:rPr>
          <w:rFonts w:ascii="Times New Roman" w:hAnsi="Times New Roman" w:cs="Times New Roman"/>
          <w:sz w:val="20"/>
          <w:szCs w:val="20"/>
        </w:rPr>
        <w:t>.</w:t>
      </w:r>
    </w:p>
    <w:p w:rsidR="008418C7" w:rsidRPr="00607BBB" w:rsidRDefault="008418C7" w:rsidP="00607BBB">
      <w:pPr>
        <w:pStyle w:val="ac"/>
        <w:spacing w:before="60" w:after="0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18:45 </w:t>
      </w:r>
      <w:r w:rsidRPr="009230C2">
        <w:rPr>
          <w:rFonts w:ascii="Times New Roman" w:hAnsi="Times New Roman" w:cs="Times New Roman"/>
          <w:sz w:val="20"/>
          <w:szCs w:val="20"/>
        </w:rPr>
        <w:t xml:space="preserve">по </w:t>
      </w:r>
      <w:r w:rsidRPr="00CC122E">
        <w:rPr>
          <w:rFonts w:ascii="Times New Roman" w:hAnsi="Times New Roman" w:cs="Times New Roman"/>
          <w:sz w:val="20"/>
          <w:szCs w:val="20"/>
        </w:rPr>
        <w:t xml:space="preserve">московскому времени обеспечить на счёте ЕДП </w:t>
      </w:r>
      <w:r w:rsidR="00307ACD" w:rsidRPr="00CC122E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CC122E">
        <w:rPr>
          <w:rFonts w:ascii="Times New Roman" w:hAnsi="Times New Roman" w:cs="Times New Roman"/>
          <w:sz w:val="20"/>
          <w:szCs w:val="20"/>
        </w:rPr>
        <w:t>ценны</w:t>
      </w:r>
      <w:r w:rsidR="00307ACD" w:rsidRPr="00CC122E">
        <w:rPr>
          <w:rFonts w:ascii="Times New Roman" w:hAnsi="Times New Roman" w:cs="Times New Roman"/>
          <w:sz w:val="20"/>
          <w:szCs w:val="20"/>
        </w:rPr>
        <w:t>х</w:t>
      </w:r>
      <w:r w:rsidRPr="00CC122E">
        <w:rPr>
          <w:rFonts w:ascii="Times New Roman" w:hAnsi="Times New Roman" w:cs="Times New Roman"/>
          <w:sz w:val="20"/>
          <w:szCs w:val="20"/>
        </w:rPr>
        <w:t xml:space="preserve"> бумаг в размере нетто-обязательств, определённых по совокупности сделок, совершённых в торговых системах, входящих в сервис ЕДП и имеющих завтрашнюю (следующий</w:t>
      </w:r>
      <w:r>
        <w:rPr>
          <w:rFonts w:ascii="Times New Roman" w:hAnsi="Times New Roman" w:cs="Times New Roman"/>
          <w:sz w:val="20"/>
          <w:szCs w:val="20"/>
        </w:rPr>
        <w:t xml:space="preserve"> торговый день)</w:t>
      </w:r>
      <w:r w:rsidRPr="009230C2">
        <w:rPr>
          <w:rFonts w:ascii="Times New Roman" w:hAnsi="Times New Roman" w:cs="Times New Roman"/>
          <w:sz w:val="20"/>
          <w:szCs w:val="20"/>
        </w:rPr>
        <w:t xml:space="preserve"> дату расчётов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418C7" w:rsidRDefault="0066230E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Перенос позиций с использованием инструментов ТС «Основной рынок» осуществля</w:t>
      </w:r>
      <w:r w:rsidR="003073E8">
        <w:rPr>
          <w:rFonts w:ascii="Times New Roman" w:hAnsi="Times New Roman" w:cs="Times New Roman"/>
          <w:sz w:val="20"/>
          <w:szCs w:val="20"/>
        </w:rPr>
        <w:t>е</w:t>
      </w:r>
      <w:r w:rsidRPr="00FA1117">
        <w:rPr>
          <w:rFonts w:ascii="Times New Roman" w:hAnsi="Times New Roman" w:cs="Times New Roman"/>
          <w:sz w:val="20"/>
          <w:szCs w:val="20"/>
        </w:rPr>
        <w:t>тся</w:t>
      </w:r>
      <w:r w:rsidR="008418C7">
        <w:rPr>
          <w:rFonts w:ascii="Times New Roman" w:hAnsi="Times New Roman" w:cs="Times New Roman"/>
          <w:sz w:val="20"/>
          <w:szCs w:val="20"/>
        </w:rPr>
        <w:t>:</w:t>
      </w:r>
    </w:p>
    <w:p w:rsidR="0066230E" w:rsidRDefault="008418C7" w:rsidP="00607BBB">
      <w:pPr>
        <w:pStyle w:val="ac"/>
        <w:spacing w:before="60" w:after="0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ценным бумагам: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торговый день (Т-1), предшествующий </w:t>
      </w:r>
      <w:r w:rsidR="0066230E" w:rsidRPr="00FA1117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ню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 расчётов </w:t>
      </w:r>
      <w:r w:rsidR="000A52A7">
        <w:rPr>
          <w:rFonts w:ascii="Times New Roman" w:hAnsi="Times New Roman" w:cs="Times New Roman"/>
          <w:sz w:val="20"/>
          <w:szCs w:val="20"/>
        </w:rPr>
        <w:t>(Т0) по соответствующей сделке</w:t>
      </w:r>
      <w:r w:rsidR="0066230E">
        <w:rPr>
          <w:rFonts w:ascii="Times New Roman" w:hAnsi="Times New Roman" w:cs="Times New Roman"/>
          <w:sz w:val="20"/>
          <w:szCs w:val="20"/>
        </w:rPr>
        <w:t xml:space="preserve"> после завершения торговой сессии в секции фондового рынка ПАО «Московская биржа»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FA1117">
        <w:rPr>
          <w:rFonts w:ascii="Times New Roman" w:hAnsi="Times New Roman" w:cs="Times New Roman"/>
          <w:sz w:val="20"/>
          <w:szCs w:val="20"/>
        </w:rPr>
        <w:t xml:space="preserve">в день расчётов </w:t>
      </w:r>
      <w:r>
        <w:rPr>
          <w:rFonts w:ascii="Times New Roman" w:hAnsi="Times New Roman" w:cs="Times New Roman"/>
          <w:sz w:val="20"/>
          <w:szCs w:val="20"/>
        </w:rPr>
        <w:t>(Т0) по соответствующей сделке</w:t>
      </w:r>
      <w:r w:rsidR="00531E0D">
        <w:rPr>
          <w:rFonts w:ascii="Times New Roman" w:hAnsi="Times New Roman" w:cs="Times New Roman"/>
          <w:sz w:val="20"/>
          <w:szCs w:val="20"/>
        </w:rPr>
        <w:t xml:space="preserve"> в любое время до завершения торговой сессии в секции фондового рынка ПАО «Московская биржа</w:t>
      </w:r>
      <w:proofErr w:type="gramStart"/>
      <w:r w:rsidR="00531E0D">
        <w:rPr>
          <w:rFonts w:ascii="Times New Roman" w:hAnsi="Times New Roman" w:cs="Times New Roman"/>
          <w:sz w:val="20"/>
          <w:szCs w:val="20"/>
        </w:rPr>
        <w:t>»,</w:t>
      </w:r>
      <w:r w:rsidR="00307ACD"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усмотрение Компании;</w:t>
      </w:r>
    </w:p>
    <w:p w:rsidR="008418C7" w:rsidRPr="00FA1117" w:rsidRDefault="008418C7" w:rsidP="00607BBB">
      <w:pPr>
        <w:pStyle w:val="ac"/>
        <w:spacing w:before="60" w:after="0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денежным средствам: </w:t>
      </w:r>
      <w:r w:rsidRPr="00FA1117">
        <w:rPr>
          <w:rFonts w:ascii="Times New Roman" w:hAnsi="Times New Roman" w:cs="Times New Roman"/>
          <w:sz w:val="20"/>
          <w:szCs w:val="20"/>
        </w:rPr>
        <w:t xml:space="preserve">в день расчётов </w:t>
      </w:r>
      <w:r>
        <w:rPr>
          <w:rFonts w:ascii="Times New Roman" w:hAnsi="Times New Roman" w:cs="Times New Roman"/>
          <w:sz w:val="20"/>
          <w:szCs w:val="20"/>
        </w:rPr>
        <w:t>(Т0) по соответствующей сделке после</w:t>
      </w:r>
      <w:r w:rsidR="00E77B7E">
        <w:rPr>
          <w:rFonts w:ascii="Times New Roman" w:hAnsi="Times New Roman" w:cs="Times New Roman"/>
          <w:sz w:val="20"/>
          <w:szCs w:val="20"/>
        </w:rPr>
        <w:t xml:space="preserve"> 17:00 по московскому </w:t>
      </w:r>
      <w:proofErr w:type="gramStart"/>
      <w:r w:rsidR="00E77B7E">
        <w:rPr>
          <w:rFonts w:ascii="Times New Roman" w:hAnsi="Times New Roman" w:cs="Times New Roman"/>
          <w:sz w:val="20"/>
          <w:szCs w:val="20"/>
        </w:rPr>
        <w:t>времени.</w:t>
      </w:r>
      <w:r w:rsidR="00307AC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6230E" w:rsidRPr="00FA1117" w:rsidRDefault="0066230E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Перенос обязательств по покупк</w:t>
      </w:r>
      <w:r w:rsidR="000A52A7">
        <w:rPr>
          <w:rFonts w:ascii="Times New Roman" w:hAnsi="Times New Roman" w:cs="Times New Roman"/>
          <w:sz w:val="20"/>
          <w:szCs w:val="20"/>
        </w:rPr>
        <w:t xml:space="preserve">е осуществляется сделкой </w:t>
      </w:r>
      <w:proofErr w:type="spellStart"/>
      <w:r w:rsidR="000A52A7"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 w:rsidR="00E57938" w:rsidRPr="00464C27">
        <w:rPr>
          <w:rFonts w:ascii="Times New Roman" w:hAnsi="Times New Roman" w:cs="Times New Roman"/>
          <w:sz w:val="20"/>
          <w:szCs w:val="20"/>
        </w:rPr>
        <w:t>,</w:t>
      </w:r>
      <w:r w:rsidR="000A52A7">
        <w:rPr>
          <w:rFonts w:ascii="Times New Roman" w:hAnsi="Times New Roman" w:cs="Times New Roman"/>
          <w:sz w:val="20"/>
          <w:szCs w:val="20"/>
        </w:rPr>
        <w:t xml:space="preserve"> в</w:t>
      </w:r>
      <w:r w:rsidRPr="00FA1117">
        <w:rPr>
          <w:rFonts w:ascii="Times New Roman" w:hAnsi="Times New Roman" w:cs="Times New Roman"/>
          <w:sz w:val="20"/>
          <w:szCs w:val="20"/>
        </w:rPr>
        <w:t xml:space="preserve"> которой Клиент выступает продавцом по первой части, перенос обязательств по продаже – покупателем по первой части</w:t>
      </w:r>
      <w:r w:rsidR="00307ACD">
        <w:rPr>
          <w:rFonts w:ascii="Times New Roman" w:hAnsi="Times New Roman" w:cs="Times New Roman"/>
          <w:sz w:val="20"/>
          <w:szCs w:val="20"/>
        </w:rPr>
        <w:t>.</w:t>
      </w:r>
    </w:p>
    <w:p w:rsidR="004540DA" w:rsidRDefault="0066230E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Первая ча</w:t>
      </w:r>
      <w:r w:rsidR="004540DA">
        <w:rPr>
          <w:rFonts w:ascii="Times New Roman" w:hAnsi="Times New Roman" w:cs="Times New Roman"/>
          <w:sz w:val="20"/>
          <w:szCs w:val="20"/>
        </w:rPr>
        <w:t xml:space="preserve">сть </w:t>
      </w:r>
      <w:proofErr w:type="spellStart"/>
      <w:r w:rsidR="004540DA"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 w:rsidR="004540DA">
        <w:rPr>
          <w:rFonts w:ascii="Times New Roman" w:hAnsi="Times New Roman" w:cs="Times New Roman"/>
          <w:sz w:val="20"/>
          <w:szCs w:val="20"/>
        </w:rPr>
        <w:t xml:space="preserve"> имеет дату расчётов Т0</w:t>
      </w:r>
      <w:r w:rsidR="00307ACD">
        <w:rPr>
          <w:rFonts w:ascii="Times New Roman" w:hAnsi="Times New Roman" w:cs="Times New Roman"/>
          <w:sz w:val="20"/>
          <w:szCs w:val="20"/>
        </w:rPr>
        <w:t>.</w:t>
      </w:r>
    </w:p>
    <w:p w:rsidR="0066230E" w:rsidRDefault="004540DA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Ц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ена первой части </w:t>
      </w:r>
      <w:proofErr w:type="spellStart"/>
      <w:r w:rsidR="0066230E" w:rsidRPr="00FA1117"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 w:rsidR="0066230E" w:rsidRPr="00FA1117">
        <w:rPr>
          <w:rFonts w:ascii="Times New Roman" w:hAnsi="Times New Roman" w:cs="Times New Roman"/>
          <w:sz w:val="20"/>
          <w:szCs w:val="20"/>
        </w:rPr>
        <w:t xml:space="preserve"> равна цене закрытия, у</w:t>
      </w:r>
      <w:r w:rsidR="000A52A7">
        <w:rPr>
          <w:rFonts w:ascii="Times New Roman" w:hAnsi="Times New Roman" w:cs="Times New Roman"/>
          <w:sz w:val="20"/>
          <w:szCs w:val="20"/>
        </w:rPr>
        <w:t xml:space="preserve">становленной в фондовой секции </w:t>
      </w:r>
      <w:r w:rsidR="00632387">
        <w:rPr>
          <w:rFonts w:ascii="Times New Roman" w:hAnsi="Times New Roman" w:cs="Times New Roman"/>
          <w:sz w:val="20"/>
          <w:szCs w:val="20"/>
        </w:rPr>
        <w:t>ПАО</w:t>
      </w:r>
      <w:r w:rsidR="000A52A7">
        <w:rPr>
          <w:rFonts w:ascii="Times New Roman" w:hAnsi="Times New Roman" w:cs="Times New Roman"/>
          <w:sz w:val="20"/>
          <w:szCs w:val="20"/>
        </w:rPr>
        <w:t xml:space="preserve"> «Московская биржа</w:t>
      </w:r>
      <w:r w:rsidR="0066230E" w:rsidRPr="00FA1117">
        <w:rPr>
          <w:rFonts w:ascii="Times New Roman" w:hAnsi="Times New Roman" w:cs="Times New Roman"/>
          <w:sz w:val="20"/>
          <w:szCs w:val="20"/>
        </w:rPr>
        <w:t xml:space="preserve"> по соответствующему инструменту в день Т</w:t>
      </w:r>
      <w:r w:rsidR="00E57938" w:rsidRPr="00464C27">
        <w:rPr>
          <w:rFonts w:ascii="Times New Roman" w:hAnsi="Times New Roman" w:cs="Times New Roman"/>
          <w:sz w:val="20"/>
          <w:szCs w:val="20"/>
        </w:rPr>
        <w:t>-1</w:t>
      </w:r>
      <w:r w:rsidR="0066230E" w:rsidRPr="00FA1117">
        <w:rPr>
          <w:rFonts w:ascii="Times New Roman" w:hAnsi="Times New Roman" w:cs="Times New Roman"/>
          <w:sz w:val="20"/>
          <w:szCs w:val="20"/>
        </w:rPr>
        <w:t>.</w:t>
      </w:r>
    </w:p>
    <w:p w:rsidR="004540DA" w:rsidRPr="00FA1117" w:rsidRDefault="004540DA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равен количеству календарных дней между датой расчёта по первой части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следующим торговым днём.</w:t>
      </w:r>
    </w:p>
    <w:p w:rsidR="0066230E" w:rsidRPr="00FA1117" w:rsidRDefault="0066230E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 xml:space="preserve">Ставка </w:t>
      </w:r>
      <w:proofErr w:type="spellStart"/>
      <w:r w:rsidRPr="00FA1117">
        <w:rPr>
          <w:rFonts w:ascii="Times New Roman" w:hAnsi="Times New Roman" w:cs="Times New Roman"/>
          <w:sz w:val="20"/>
          <w:szCs w:val="20"/>
        </w:rPr>
        <w:t>Репо</w:t>
      </w:r>
      <w:proofErr w:type="spellEnd"/>
      <w:r w:rsidRPr="00FA1117">
        <w:rPr>
          <w:rFonts w:ascii="Times New Roman" w:hAnsi="Times New Roman" w:cs="Times New Roman"/>
          <w:sz w:val="20"/>
          <w:szCs w:val="20"/>
        </w:rPr>
        <w:t xml:space="preserve"> определяется исходя из ставок Тарифов Компании.</w:t>
      </w:r>
    </w:p>
    <w:p w:rsidR="0066230E" w:rsidRPr="00FA1117" w:rsidRDefault="0066230E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t>Перенос позиции по инструментам Валютного рынка осуществляется в соответствии с пунктом 38 Регламента. Определение денежной позиции</w:t>
      </w:r>
      <w:r w:rsidR="00BD6D64">
        <w:rPr>
          <w:rFonts w:ascii="Times New Roman" w:hAnsi="Times New Roman" w:cs="Times New Roman"/>
          <w:sz w:val="20"/>
          <w:szCs w:val="20"/>
        </w:rPr>
        <w:t>,</w:t>
      </w:r>
      <w:r w:rsidRPr="00FA1117">
        <w:rPr>
          <w:rFonts w:ascii="Times New Roman" w:hAnsi="Times New Roman" w:cs="Times New Roman"/>
          <w:sz w:val="20"/>
          <w:szCs w:val="20"/>
        </w:rPr>
        <w:t xml:space="preserve"> достаточной для урегулирования сделок</w:t>
      </w:r>
      <w:r w:rsidR="00BD6D64">
        <w:rPr>
          <w:rFonts w:ascii="Times New Roman" w:hAnsi="Times New Roman" w:cs="Times New Roman"/>
          <w:sz w:val="20"/>
          <w:szCs w:val="20"/>
        </w:rPr>
        <w:t>,</w:t>
      </w:r>
      <w:r w:rsidRPr="00FA1117">
        <w:rPr>
          <w:rFonts w:ascii="Times New Roman" w:hAnsi="Times New Roman" w:cs="Times New Roman"/>
          <w:sz w:val="20"/>
          <w:szCs w:val="20"/>
        </w:rPr>
        <w:t xml:space="preserve"> осуществляется с учётом сделок переноса, закрывающих непокрытую позицию по инструментам (ценным бумагам) Основного рынка.</w:t>
      </w:r>
    </w:p>
    <w:p w:rsidR="0066230E" w:rsidRPr="00FA1117" w:rsidRDefault="007F4124" w:rsidP="00464C27">
      <w:pPr>
        <w:pStyle w:val="ac"/>
        <w:numPr>
          <w:ilvl w:val="1"/>
          <w:numId w:val="5"/>
        </w:numPr>
        <w:spacing w:before="60" w:after="0"/>
        <w:ind w:left="851" w:hanging="4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одновременном наличии обязательств </w:t>
      </w:r>
      <w:r w:rsidR="00BD6D64">
        <w:rPr>
          <w:rFonts w:ascii="Times New Roman" w:hAnsi="Times New Roman" w:cs="Times New Roman"/>
          <w:sz w:val="20"/>
          <w:szCs w:val="20"/>
        </w:rPr>
        <w:t xml:space="preserve">по покупке </w:t>
      </w:r>
      <w:r>
        <w:rPr>
          <w:rFonts w:ascii="Times New Roman" w:hAnsi="Times New Roman" w:cs="Times New Roman"/>
          <w:sz w:val="20"/>
          <w:szCs w:val="20"/>
        </w:rPr>
        <w:t xml:space="preserve">по инструментам Основного рынка и инструментам Валютного рынка </w:t>
      </w:r>
      <w:r w:rsidR="00BD6D64">
        <w:rPr>
          <w:rFonts w:ascii="Times New Roman" w:hAnsi="Times New Roman" w:cs="Times New Roman"/>
          <w:sz w:val="20"/>
          <w:szCs w:val="20"/>
        </w:rPr>
        <w:t xml:space="preserve">за российские рубли </w:t>
      </w:r>
      <w:r>
        <w:rPr>
          <w:rFonts w:ascii="Times New Roman" w:hAnsi="Times New Roman" w:cs="Times New Roman"/>
          <w:sz w:val="20"/>
          <w:szCs w:val="20"/>
        </w:rPr>
        <w:t>и при недостаточности денежных средств для их полного исполнения Компания по своему усмотрению выбирает инструменты, являющиеся предметом сделок по переносу обязательств</w:t>
      </w:r>
      <w:r w:rsidR="00325F3B">
        <w:rPr>
          <w:rFonts w:ascii="Times New Roman" w:hAnsi="Times New Roman" w:cs="Times New Roman"/>
          <w:sz w:val="20"/>
          <w:szCs w:val="20"/>
        </w:rPr>
        <w:t>.</w:t>
      </w:r>
    </w:p>
    <w:p w:rsidR="0013230D" w:rsidRDefault="00325F3B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Сервис </w:t>
      </w:r>
      <w:r w:rsidRPr="00CD333C">
        <w:rPr>
          <w:rFonts w:ascii="Times New Roman" w:hAnsi="Times New Roman" w:cs="Times New Roman"/>
          <w:sz w:val="20"/>
          <w:szCs w:val="20"/>
        </w:rPr>
        <w:t>ЕДП может быть подключён по инициативе Клиента путём направления Заявления в Компанию посредством Системы либо по инициативе Компании.</w:t>
      </w:r>
    </w:p>
    <w:p w:rsidR="00325F3B" w:rsidRDefault="00325F3B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33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заключения сделок в ТС </w:t>
      </w:r>
      <w:r w:rsidRPr="00CD333C">
        <w:rPr>
          <w:rFonts w:ascii="Times New Roman" w:hAnsi="Times New Roman" w:cs="Times New Roman"/>
          <w:sz w:val="20"/>
          <w:szCs w:val="20"/>
        </w:rPr>
        <w:t xml:space="preserve">ПАО «Санкт-Петербургская биржа» ЕДП с «Валютным рынком» подключается </w:t>
      </w:r>
      <w:r>
        <w:rPr>
          <w:rFonts w:ascii="Times New Roman" w:hAnsi="Times New Roman" w:cs="Times New Roman"/>
          <w:sz w:val="20"/>
          <w:szCs w:val="20"/>
        </w:rPr>
        <w:t xml:space="preserve">в обязательном порядке </w:t>
      </w:r>
      <w:r w:rsidRPr="00CD333C">
        <w:rPr>
          <w:rFonts w:ascii="Times New Roman" w:hAnsi="Times New Roman" w:cs="Times New Roman"/>
          <w:sz w:val="20"/>
          <w:szCs w:val="20"/>
        </w:rPr>
        <w:t>по инициативе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6230E" w:rsidRPr="00FA1117" w:rsidRDefault="0066230E" w:rsidP="00464C27">
      <w:pPr>
        <w:pStyle w:val="ac"/>
        <w:numPr>
          <w:ilvl w:val="0"/>
          <w:numId w:val="5"/>
        </w:numPr>
        <w:spacing w:before="6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117">
        <w:rPr>
          <w:rFonts w:ascii="Times New Roman" w:hAnsi="Times New Roman" w:cs="Times New Roman"/>
          <w:sz w:val="20"/>
          <w:szCs w:val="20"/>
        </w:rPr>
        <w:lastRenderedPageBreak/>
        <w:t>В случае противоречия настояще</w:t>
      </w:r>
      <w:r w:rsidR="003073E8">
        <w:rPr>
          <w:rFonts w:ascii="Times New Roman" w:hAnsi="Times New Roman" w:cs="Times New Roman"/>
          <w:sz w:val="20"/>
          <w:szCs w:val="20"/>
        </w:rPr>
        <w:t>го Приложения</w:t>
      </w:r>
      <w:r w:rsidRPr="00FA1117">
        <w:rPr>
          <w:rFonts w:ascii="Times New Roman" w:hAnsi="Times New Roman" w:cs="Times New Roman"/>
          <w:sz w:val="20"/>
          <w:szCs w:val="20"/>
        </w:rPr>
        <w:t xml:space="preserve"> общим положениям Регламента применяется настоящ</w:t>
      </w:r>
      <w:r w:rsidR="003073E8">
        <w:rPr>
          <w:rFonts w:ascii="Times New Roman" w:hAnsi="Times New Roman" w:cs="Times New Roman"/>
          <w:sz w:val="20"/>
          <w:szCs w:val="20"/>
        </w:rPr>
        <w:t>ее Приложение</w:t>
      </w:r>
      <w:r w:rsidRPr="00FA1117">
        <w:rPr>
          <w:rFonts w:ascii="Times New Roman" w:hAnsi="Times New Roman" w:cs="Times New Roman"/>
          <w:sz w:val="20"/>
          <w:szCs w:val="20"/>
        </w:rPr>
        <w:t>.</w:t>
      </w:r>
    </w:p>
    <w:p w:rsidR="00D31913" w:rsidRPr="00D31913" w:rsidRDefault="00D31913" w:rsidP="00B63D76">
      <w:pPr>
        <w:spacing w:before="60"/>
      </w:pPr>
    </w:p>
    <w:sectPr w:rsidR="00D31913" w:rsidRPr="00D31913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88" w:rsidRDefault="00800888">
      <w:r>
        <w:separator/>
      </w:r>
    </w:p>
  </w:endnote>
  <w:endnote w:type="continuationSeparator" w:id="0">
    <w:p w:rsidR="00800888" w:rsidRDefault="008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88" w:rsidRDefault="00800888">
      <w:r>
        <w:separator/>
      </w:r>
    </w:p>
  </w:footnote>
  <w:footnote w:type="continuationSeparator" w:id="0">
    <w:p w:rsidR="00800888" w:rsidRDefault="0080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D3754E" w:rsidRPr="00C43907" w:rsidTr="00F850FD">
      <w:tc>
        <w:tcPr>
          <w:tcW w:w="4423" w:type="dxa"/>
        </w:tcPr>
        <w:p w:rsidR="00D3754E" w:rsidRPr="00C43907" w:rsidRDefault="00D3754E" w:rsidP="00D3754E">
          <w:pPr>
            <w:rPr>
              <w:rFonts w:ascii="Arial" w:hAnsi="Arial" w:cs="Arial"/>
              <w:noProof/>
              <w:sz w:val="20"/>
              <w:szCs w:val="20"/>
            </w:rPr>
          </w:pPr>
          <w:r w:rsidRPr="00D3754E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D3754E" w:rsidRPr="00C43907" w:rsidRDefault="00D3754E" w:rsidP="00D3754E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 w:rsidR="001A33CE">
            <w:rPr>
              <w:rFonts w:ascii="Times New Roman" w:hAnsi="Times New Roman"/>
              <w:i/>
              <w:sz w:val="18"/>
              <w:szCs w:val="18"/>
            </w:rPr>
            <w:t>2</w:t>
          </w:r>
          <w:r w:rsidR="003073E8">
            <w:rPr>
              <w:rFonts w:ascii="Times New Roman" w:hAnsi="Times New Roman"/>
              <w:i/>
              <w:sz w:val="18"/>
              <w:szCs w:val="18"/>
            </w:rPr>
            <w:t>1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D3754E" w:rsidRPr="00C43907" w:rsidRDefault="00D3754E" w:rsidP="00D3754E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A44879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E41337" w:rsidRPr="00A44879">
            <w:rPr>
              <w:rFonts w:ascii="Times New Roman" w:hAnsi="Times New Roman"/>
              <w:bCs/>
              <w:i/>
              <w:sz w:val="18"/>
              <w:szCs w:val="18"/>
            </w:rPr>
            <w:t xml:space="preserve"> </w:t>
          </w:r>
          <w:r w:rsidR="00E41337" w:rsidRPr="00A44879">
            <w:rPr>
              <w:bCs/>
              <w:i/>
              <w:sz w:val="18"/>
              <w:szCs w:val="18"/>
            </w:rPr>
            <w:t xml:space="preserve">№ </w:t>
          </w:r>
          <w:r w:rsidR="005F56BA">
            <w:rPr>
              <w:bCs/>
              <w:i/>
              <w:sz w:val="18"/>
              <w:szCs w:val="18"/>
            </w:rPr>
            <w:t>45</w:t>
          </w:r>
          <w:r w:rsidR="00464C27" w:rsidRPr="00A44879">
            <w:rPr>
              <w:bCs/>
              <w:i/>
              <w:sz w:val="18"/>
              <w:szCs w:val="18"/>
            </w:rPr>
            <w:t xml:space="preserve"> </w:t>
          </w:r>
          <w:r w:rsidRPr="00A44879">
            <w:rPr>
              <w:bCs/>
              <w:i/>
              <w:sz w:val="18"/>
              <w:szCs w:val="18"/>
            </w:rPr>
            <w:t>от</w:t>
          </w:r>
          <w:r w:rsidR="00A44879" w:rsidRPr="00A44879">
            <w:rPr>
              <w:bCs/>
              <w:i/>
              <w:sz w:val="18"/>
              <w:szCs w:val="18"/>
            </w:rPr>
            <w:t xml:space="preserve"> </w:t>
          </w:r>
          <w:r w:rsidR="005F56BA">
            <w:rPr>
              <w:bCs/>
              <w:i/>
              <w:sz w:val="18"/>
              <w:szCs w:val="18"/>
            </w:rPr>
            <w:t>24</w:t>
          </w:r>
          <w:r w:rsidR="005F56BA" w:rsidRPr="00A44879">
            <w:rPr>
              <w:bCs/>
              <w:i/>
              <w:sz w:val="18"/>
              <w:szCs w:val="18"/>
            </w:rPr>
            <w:t>.</w:t>
          </w:r>
          <w:r w:rsidR="007F3113">
            <w:rPr>
              <w:bCs/>
              <w:i/>
              <w:sz w:val="18"/>
              <w:szCs w:val="18"/>
            </w:rPr>
            <w:t>08</w:t>
          </w:r>
          <w:r w:rsidR="00A44879" w:rsidRPr="00A44879">
            <w:rPr>
              <w:bCs/>
              <w:i/>
              <w:sz w:val="18"/>
              <w:szCs w:val="18"/>
            </w:rPr>
            <w:t>.2020</w:t>
          </w:r>
          <w:r w:rsidRPr="00A44879">
            <w:rPr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D3754E" w:rsidRPr="00C43907" w:rsidRDefault="00D3754E" w:rsidP="004D3541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409"/>
    <w:multiLevelType w:val="hybridMultilevel"/>
    <w:tmpl w:val="B4583C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45A565B"/>
    <w:multiLevelType w:val="hybridMultilevel"/>
    <w:tmpl w:val="3A48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2469"/>
    <w:multiLevelType w:val="multilevel"/>
    <w:tmpl w:val="7A3CE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DF168E7"/>
    <w:multiLevelType w:val="hybridMultilevel"/>
    <w:tmpl w:val="7E724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007765"/>
    <w:rsid w:val="00042502"/>
    <w:rsid w:val="00061C78"/>
    <w:rsid w:val="00086520"/>
    <w:rsid w:val="00087CB7"/>
    <w:rsid w:val="00095694"/>
    <w:rsid w:val="000A52A7"/>
    <w:rsid w:val="000E6F88"/>
    <w:rsid w:val="000F0918"/>
    <w:rsid w:val="0013230D"/>
    <w:rsid w:val="00143254"/>
    <w:rsid w:val="00173694"/>
    <w:rsid w:val="001A33CE"/>
    <w:rsid w:val="00204E76"/>
    <w:rsid w:val="002258BD"/>
    <w:rsid w:val="002809FB"/>
    <w:rsid w:val="0029091B"/>
    <w:rsid w:val="003073E8"/>
    <w:rsid w:val="00307ACD"/>
    <w:rsid w:val="003206B8"/>
    <w:rsid w:val="003210BA"/>
    <w:rsid w:val="00325F3B"/>
    <w:rsid w:val="00327EEE"/>
    <w:rsid w:val="00375BC4"/>
    <w:rsid w:val="00382494"/>
    <w:rsid w:val="003B21E7"/>
    <w:rsid w:val="003B3FE1"/>
    <w:rsid w:val="0041004E"/>
    <w:rsid w:val="00411885"/>
    <w:rsid w:val="00444209"/>
    <w:rsid w:val="0045358C"/>
    <w:rsid w:val="004539D8"/>
    <w:rsid w:val="004540DA"/>
    <w:rsid w:val="00464C27"/>
    <w:rsid w:val="004D3541"/>
    <w:rsid w:val="005260BB"/>
    <w:rsid w:val="00531E0D"/>
    <w:rsid w:val="0056373A"/>
    <w:rsid w:val="005907A0"/>
    <w:rsid w:val="005A4EC7"/>
    <w:rsid w:val="005A7499"/>
    <w:rsid w:val="005F327E"/>
    <w:rsid w:val="005F56BA"/>
    <w:rsid w:val="00607BBB"/>
    <w:rsid w:val="00620E56"/>
    <w:rsid w:val="00632387"/>
    <w:rsid w:val="00656438"/>
    <w:rsid w:val="0066230E"/>
    <w:rsid w:val="00683510"/>
    <w:rsid w:val="006D5122"/>
    <w:rsid w:val="006F450C"/>
    <w:rsid w:val="006F7935"/>
    <w:rsid w:val="00734D04"/>
    <w:rsid w:val="00774A04"/>
    <w:rsid w:val="007834CF"/>
    <w:rsid w:val="007C7DA7"/>
    <w:rsid w:val="007E63DE"/>
    <w:rsid w:val="007F3113"/>
    <w:rsid w:val="007F4124"/>
    <w:rsid w:val="007F5113"/>
    <w:rsid w:val="00800888"/>
    <w:rsid w:val="00827788"/>
    <w:rsid w:val="008418C7"/>
    <w:rsid w:val="00861251"/>
    <w:rsid w:val="008A6A91"/>
    <w:rsid w:val="008E56FF"/>
    <w:rsid w:val="00913481"/>
    <w:rsid w:val="00921A80"/>
    <w:rsid w:val="009846A4"/>
    <w:rsid w:val="009C079C"/>
    <w:rsid w:val="00A3733C"/>
    <w:rsid w:val="00A44879"/>
    <w:rsid w:val="00A51D24"/>
    <w:rsid w:val="00A737FF"/>
    <w:rsid w:val="00AC0A31"/>
    <w:rsid w:val="00B11B89"/>
    <w:rsid w:val="00B63D76"/>
    <w:rsid w:val="00B8681C"/>
    <w:rsid w:val="00B91B74"/>
    <w:rsid w:val="00B94FA8"/>
    <w:rsid w:val="00BA2D2D"/>
    <w:rsid w:val="00BD6D64"/>
    <w:rsid w:val="00C31B93"/>
    <w:rsid w:val="00CB165E"/>
    <w:rsid w:val="00CC122E"/>
    <w:rsid w:val="00CF7506"/>
    <w:rsid w:val="00D06997"/>
    <w:rsid w:val="00D13D13"/>
    <w:rsid w:val="00D21F01"/>
    <w:rsid w:val="00D31913"/>
    <w:rsid w:val="00D3754E"/>
    <w:rsid w:val="00D90B8D"/>
    <w:rsid w:val="00DA2BE4"/>
    <w:rsid w:val="00DB3064"/>
    <w:rsid w:val="00DB4403"/>
    <w:rsid w:val="00E05F85"/>
    <w:rsid w:val="00E41337"/>
    <w:rsid w:val="00E46EB5"/>
    <w:rsid w:val="00E57938"/>
    <w:rsid w:val="00E77B7E"/>
    <w:rsid w:val="00ED24A2"/>
    <w:rsid w:val="00EE6AB0"/>
    <w:rsid w:val="00F546AB"/>
    <w:rsid w:val="00F63A73"/>
    <w:rsid w:val="00F65272"/>
    <w:rsid w:val="00F652EE"/>
    <w:rsid w:val="00FA0614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3D3088A-CDB7-4591-83E2-2B8A80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3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29091B"/>
  </w:style>
  <w:style w:type="character" w:customStyle="1" w:styleId="aa">
    <w:name w:val="Текст концевой сноски Знак"/>
    <w:basedOn w:val="a0"/>
    <w:link w:val="a9"/>
    <w:rsid w:val="0029091B"/>
  </w:style>
  <w:style w:type="character" w:styleId="ab">
    <w:name w:val="endnote reference"/>
    <w:basedOn w:val="a0"/>
    <w:uiPriority w:val="99"/>
    <w:unhideWhenUsed/>
    <w:rsid w:val="0029091B"/>
    <w:rPr>
      <w:vertAlign w:val="superscript"/>
    </w:rPr>
  </w:style>
  <w:style w:type="paragraph" w:customStyle="1" w:styleId="Iauiue3">
    <w:name w:val="Iau?iue3"/>
    <w:rsid w:val="00D31913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styleId="ac">
    <w:name w:val="List Paragraph"/>
    <w:basedOn w:val="a"/>
    <w:uiPriority w:val="34"/>
    <w:qFormat/>
    <w:rsid w:val="006623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3</Pages>
  <Words>1065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Krinitsina, Ekaterina</cp:lastModifiedBy>
  <cp:revision>2</cp:revision>
  <cp:lastPrinted>2018-12-06T09:10:00Z</cp:lastPrinted>
  <dcterms:created xsi:type="dcterms:W3CDTF">2020-08-24T14:31:00Z</dcterms:created>
  <dcterms:modified xsi:type="dcterms:W3CDTF">2020-08-24T14:31:00Z</dcterms:modified>
</cp:coreProperties>
</file>